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306CA91" w:rsidR="00A209D6" w:rsidRPr="00281B14" w:rsidRDefault="00A209D6" w:rsidP="00A209D6">
      <w:pPr>
        <w:pStyle w:val="Header"/>
        <w:tabs>
          <w:tab w:val="right" w:pos="9639"/>
        </w:tabs>
        <w:rPr>
          <w:bCs/>
          <w:i/>
          <w:noProof w:val="0"/>
          <w:sz w:val="24"/>
          <w:szCs w:val="24"/>
        </w:rPr>
      </w:pPr>
      <w:r w:rsidRPr="00281B14">
        <w:rPr>
          <w:bCs/>
          <w:noProof w:val="0"/>
          <w:sz w:val="24"/>
          <w:szCs w:val="24"/>
        </w:rPr>
        <w:t>3GPP TSG-RAN WG2 Meeting #</w:t>
      </w:r>
      <w:r w:rsidR="0036459E" w:rsidRPr="00281B14">
        <w:rPr>
          <w:bCs/>
          <w:noProof w:val="0"/>
          <w:sz w:val="24"/>
          <w:szCs w:val="24"/>
        </w:rPr>
        <w:t>1</w:t>
      </w:r>
      <w:r w:rsidR="00A6653C">
        <w:rPr>
          <w:bCs/>
          <w:noProof w:val="0"/>
          <w:sz w:val="24"/>
          <w:szCs w:val="24"/>
        </w:rPr>
        <w:t>2</w:t>
      </w:r>
      <w:r w:rsidR="00AB217A">
        <w:rPr>
          <w:bCs/>
          <w:noProof w:val="0"/>
          <w:sz w:val="24"/>
          <w:szCs w:val="24"/>
        </w:rPr>
        <w:t>3</w:t>
      </w:r>
      <w:r w:rsidRPr="00281B14">
        <w:rPr>
          <w:bCs/>
          <w:noProof w:val="0"/>
          <w:sz w:val="24"/>
          <w:szCs w:val="24"/>
        </w:rPr>
        <w:tab/>
        <w:t>R2-</w:t>
      </w:r>
      <w:r w:rsidR="009376CD" w:rsidRPr="00281B14">
        <w:rPr>
          <w:bCs/>
          <w:noProof w:val="0"/>
          <w:sz w:val="24"/>
          <w:szCs w:val="24"/>
        </w:rPr>
        <w:t>2</w:t>
      </w:r>
      <w:r w:rsidR="00C235C5">
        <w:rPr>
          <w:bCs/>
          <w:noProof w:val="0"/>
          <w:sz w:val="24"/>
          <w:szCs w:val="24"/>
        </w:rPr>
        <w:t>3</w:t>
      </w:r>
      <w:r w:rsidR="0011034D">
        <w:rPr>
          <w:bCs/>
          <w:noProof w:val="0"/>
          <w:sz w:val="24"/>
          <w:szCs w:val="24"/>
        </w:rPr>
        <w:t>0</w:t>
      </w:r>
      <w:r w:rsidR="00096E44">
        <w:rPr>
          <w:bCs/>
          <w:noProof w:val="0"/>
          <w:sz w:val="24"/>
          <w:szCs w:val="24"/>
        </w:rPr>
        <w:t>7585</w:t>
      </w:r>
    </w:p>
    <w:p w14:paraId="2E02E5F5" w14:textId="56AEA9B1" w:rsidR="00A209D6" w:rsidRPr="00281B14" w:rsidRDefault="00AB217A" w:rsidP="00902DBB">
      <w:pPr>
        <w:pStyle w:val="Header"/>
        <w:tabs>
          <w:tab w:val="right" w:pos="9639"/>
        </w:tabs>
        <w:rPr>
          <w:bCs/>
          <w:noProof w:val="0"/>
          <w:sz w:val="24"/>
        </w:rPr>
      </w:pPr>
      <w:r>
        <w:rPr>
          <w:rFonts w:eastAsia="SimSun"/>
          <w:bCs/>
          <w:sz w:val="24"/>
          <w:szCs w:val="24"/>
          <w:lang w:eastAsia="zh-CN"/>
        </w:rPr>
        <w:t>Toulouse, France</w:t>
      </w:r>
      <w:r w:rsidR="00A36F5F" w:rsidRPr="00281B14">
        <w:rPr>
          <w:rFonts w:eastAsia="SimSun"/>
          <w:bCs/>
          <w:sz w:val="24"/>
          <w:szCs w:val="24"/>
          <w:lang w:eastAsia="zh-CN"/>
        </w:rPr>
        <w:t xml:space="preserve"> </w:t>
      </w:r>
      <w:r w:rsidR="00C50CEC">
        <w:rPr>
          <w:rFonts w:eastAsia="SimSun"/>
          <w:bCs/>
          <w:sz w:val="24"/>
          <w:szCs w:val="24"/>
          <w:lang w:eastAsia="zh-CN"/>
        </w:rPr>
        <w:t>2</w:t>
      </w:r>
      <w:r>
        <w:rPr>
          <w:rFonts w:eastAsia="SimSun"/>
          <w:bCs/>
          <w:sz w:val="24"/>
          <w:szCs w:val="24"/>
          <w:lang w:eastAsia="zh-CN"/>
        </w:rPr>
        <w:t>1</w:t>
      </w:r>
      <w:r w:rsidRPr="00AB217A">
        <w:rPr>
          <w:rFonts w:eastAsia="SimSun"/>
          <w:bCs/>
          <w:sz w:val="24"/>
          <w:szCs w:val="24"/>
          <w:vertAlign w:val="superscript"/>
          <w:lang w:eastAsia="zh-CN"/>
        </w:rPr>
        <w:t>st</w:t>
      </w:r>
      <w:r>
        <w:rPr>
          <w:rFonts w:eastAsia="SimSun"/>
          <w:bCs/>
          <w:sz w:val="24"/>
          <w:szCs w:val="24"/>
          <w:lang w:eastAsia="zh-CN"/>
        </w:rPr>
        <w:t xml:space="preserve"> –</w:t>
      </w:r>
      <w:r w:rsidR="001A3ECF">
        <w:rPr>
          <w:rFonts w:eastAsia="SimSun"/>
          <w:bCs/>
          <w:sz w:val="24"/>
          <w:szCs w:val="24"/>
          <w:lang w:eastAsia="zh-CN"/>
        </w:rPr>
        <w:t xml:space="preserve"> 2</w:t>
      </w:r>
      <w:r>
        <w:rPr>
          <w:rFonts w:eastAsia="SimSun"/>
          <w:bCs/>
          <w:sz w:val="24"/>
          <w:szCs w:val="24"/>
          <w:lang w:eastAsia="zh-CN"/>
        </w:rPr>
        <w:t>5</w:t>
      </w:r>
      <w:r w:rsidRPr="00AB217A">
        <w:rPr>
          <w:rFonts w:eastAsia="SimSun"/>
          <w:bCs/>
          <w:sz w:val="24"/>
          <w:szCs w:val="24"/>
          <w:vertAlign w:val="superscript"/>
          <w:lang w:eastAsia="zh-CN"/>
        </w:rPr>
        <w:t>th</w:t>
      </w:r>
      <w:r>
        <w:rPr>
          <w:rFonts w:eastAsia="SimSun"/>
          <w:bCs/>
          <w:sz w:val="24"/>
          <w:szCs w:val="24"/>
          <w:lang w:eastAsia="zh-CN"/>
        </w:rPr>
        <w:t xml:space="preserve"> </w:t>
      </w:r>
      <w:r w:rsidR="00C235C5">
        <w:rPr>
          <w:rFonts w:eastAsia="SimSun"/>
          <w:bCs/>
          <w:sz w:val="24"/>
          <w:szCs w:val="24"/>
          <w:lang w:eastAsia="zh-CN"/>
        </w:rPr>
        <w:t xml:space="preserve">of </w:t>
      </w:r>
      <w:r>
        <w:rPr>
          <w:rFonts w:eastAsia="SimSun"/>
          <w:bCs/>
          <w:sz w:val="24"/>
          <w:szCs w:val="24"/>
          <w:lang w:eastAsia="zh-CN"/>
        </w:rPr>
        <w:t>August</w:t>
      </w:r>
      <w:r w:rsidR="005C7CD5" w:rsidRPr="00281B14">
        <w:rPr>
          <w:rFonts w:eastAsia="SimSun"/>
          <w:bCs/>
          <w:sz w:val="24"/>
          <w:szCs w:val="24"/>
          <w:lang w:eastAsia="zh-CN"/>
        </w:rPr>
        <w:t xml:space="preserve"> 202</w:t>
      </w:r>
      <w:r w:rsidR="00C235C5">
        <w:rPr>
          <w:rFonts w:eastAsia="SimSun"/>
          <w:bCs/>
          <w:sz w:val="24"/>
          <w:szCs w:val="24"/>
          <w:lang w:eastAsia="zh-CN"/>
        </w:rPr>
        <w:t>3</w:t>
      </w:r>
      <w:r w:rsidR="00A209D6" w:rsidRPr="00281B14">
        <w:rPr>
          <w:rFonts w:eastAsia="SimSun"/>
          <w:noProof w:val="0"/>
          <w:sz w:val="24"/>
          <w:szCs w:val="24"/>
          <w:lang w:eastAsia="zh-CN"/>
        </w:rPr>
        <w:tab/>
      </w:r>
    </w:p>
    <w:p w14:paraId="403CB9C0" w14:textId="77777777" w:rsidR="00A209D6" w:rsidRPr="00281B14" w:rsidRDefault="00A209D6" w:rsidP="00A209D6">
      <w:pPr>
        <w:pStyle w:val="Header"/>
        <w:rPr>
          <w:bCs/>
          <w:noProof w:val="0"/>
          <w:sz w:val="24"/>
        </w:rPr>
      </w:pPr>
    </w:p>
    <w:p w14:paraId="310B92C9" w14:textId="0B367FE6" w:rsidR="00446C3A" w:rsidRPr="00281B14" w:rsidRDefault="00446C3A" w:rsidP="00446C3A">
      <w:pPr>
        <w:pStyle w:val="CRCoverPage"/>
        <w:tabs>
          <w:tab w:val="left" w:pos="1985"/>
        </w:tabs>
        <w:rPr>
          <w:rFonts w:cs="Arial"/>
          <w:b/>
          <w:bCs/>
          <w:sz w:val="24"/>
          <w:lang w:eastAsia="ja-JP"/>
        </w:rPr>
      </w:pPr>
      <w:r w:rsidRPr="00281B14">
        <w:rPr>
          <w:rFonts w:cs="Arial"/>
          <w:b/>
          <w:bCs/>
          <w:sz w:val="24"/>
        </w:rPr>
        <w:t>Agenda item:</w:t>
      </w:r>
      <w:r w:rsidRPr="00281B14">
        <w:rPr>
          <w:rFonts w:cs="Arial"/>
          <w:b/>
          <w:bCs/>
          <w:sz w:val="24"/>
        </w:rPr>
        <w:tab/>
      </w:r>
      <w:r w:rsidR="001A3ECF">
        <w:rPr>
          <w:rFonts w:cs="Arial"/>
          <w:b/>
          <w:bCs/>
          <w:sz w:val="24"/>
          <w:lang w:eastAsia="ja-JP"/>
        </w:rPr>
        <w:t>7</w:t>
      </w:r>
      <w:r w:rsidR="003B1C5A" w:rsidRPr="00281B14">
        <w:rPr>
          <w:rFonts w:cs="Arial"/>
          <w:b/>
          <w:bCs/>
          <w:sz w:val="24"/>
          <w:lang w:eastAsia="ja-JP"/>
        </w:rPr>
        <w:t>.8.</w:t>
      </w:r>
      <w:r w:rsidR="00164FF5">
        <w:rPr>
          <w:rFonts w:cs="Arial"/>
          <w:b/>
          <w:bCs/>
          <w:sz w:val="24"/>
          <w:lang w:eastAsia="ja-JP"/>
        </w:rPr>
        <w:t>5</w:t>
      </w:r>
    </w:p>
    <w:p w14:paraId="73188B46" w14:textId="77777777" w:rsidR="00446C3A" w:rsidRPr="00281B14" w:rsidRDefault="00446C3A" w:rsidP="00446C3A">
      <w:pPr>
        <w:tabs>
          <w:tab w:val="left" w:pos="1985"/>
        </w:tabs>
        <w:ind w:left="1985" w:hanging="1985"/>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213BA808" w:rsidR="00446C3A" w:rsidRPr="00281B14" w:rsidRDefault="00446C3A" w:rsidP="00446C3A">
      <w:pPr>
        <w:ind w:left="1985" w:hanging="1985"/>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473CBE" w:rsidRPr="00473CBE">
        <w:rPr>
          <w:rFonts w:ascii="Arial" w:hAnsi="Arial" w:cs="Arial"/>
          <w:b/>
          <w:bCs/>
          <w:sz w:val="24"/>
        </w:rPr>
        <w:t>On the Remaining Aspects for Supporting PC5-based BRID and DAA</w:t>
      </w:r>
    </w:p>
    <w:p w14:paraId="25F387E8" w14:textId="214E5D60" w:rsidR="00446C3A" w:rsidRPr="00281B14" w:rsidRDefault="00446C3A" w:rsidP="00446C3A">
      <w:pPr>
        <w:ind w:left="1985" w:hanging="1985"/>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3B1C5A" w:rsidRPr="00281B14">
        <w:rPr>
          <w:rFonts w:ascii="Arial" w:hAnsi="Arial" w:cs="Arial"/>
          <w:b/>
          <w:bCs/>
          <w:sz w:val="24"/>
        </w:rPr>
        <w:t>NR_UAV</w:t>
      </w:r>
      <w:r w:rsidRPr="00281B14">
        <w:rPr>
          <w:rFonts w:ascii="Arial" w:hAnsi="Arial" w:cs="Arial"/>
          <w:b/>
          <w:bCs/>
          <w:sz w:val="24"/>
        </w:rPr>
        <w:t xml:space="preserve"> - Release </w:t>
      </w:r>
      <w:r w:rsidR="003B1C5A" w:rsidRPr="00281B14">
        <w:rPr>
          <w:rFonts w:ascii="Arial" w:hAnsi="Arial" w:cs="Arial"/>
          <w:b/>
          <w:bCs/>
          <w:sz w:val="24"/>
        </w:rPr>
        <w:t>18</w:t>
      </w:r>
    </w:p>
    <w:p w14:paraId="6FEB19D6" w14:textId="77777777" w:rsidR="00446C3A" w:rsidRPr="00281B14" w:rsidRDefault="00446C3A" w:rsidP="00446C3A">
      <w:pPr>
        <w:tabs>
          <w:tab w:val="left" w:pos="1985"/>
        </w:tabs>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A209D6">
      <w:pPr>
        <w:pStyle w:val="Heading1"/>
      </w:pPr>
      <w:r w:rsidRPr="00281B14">
        <w:t>1</w:t>
      </w:r>
      <w:r w:rsidRPr="00281B14">
        <w:tab/>
        <w:t>Introduction</w:t>
      </w:r>
    </w:p>
    <w:p w14:paraId="601EA47C" w14:textId="066A06EB" w:rsidR="0086033B" w:rsidRPr="00281B14" w:rsidRDefault="00DC26BC" w:rsidP="008C1AE4">
      <w:pPr>
        <w:jc w:val="both"/>
      </w:pPr>
      <w:r>
        <w:t xml:space="preserve">During RAN2#121bis (April 2023) the LS to SA2 in </w:t>
      </w:r>
      <w:r>
        <w:fldChar w:fldCharType="begin"/>
      </w:r>
      <w:r>
        <w:instrText xml:space="preserve"> REF _Ref142056267 \n \h </w:instrText>
      </w:r>
      <w:r w:rsidR="008C1AE4">
        <w:instrText xml:space="preserve"> \* MERGEFORMAT </w:instrText>
      </w:r>
      <w:r>
        <w:fldChar w:fldCharType="separate"/>
      </w:r>
      <w:r>
        <w:t>[1]</w:t>
      </w:r>
      <w:r>
        <w:fldChar w:fldCharType="end"/>
      </w:r>
      <w:r>
        <w:t xml:space="preserve"> has been approved. In </w:t>
      </w:r>
      <w:r>
        <w:fldChar w:fldCharType="begin"/>
      </w:r>
      <w:r>
        <w:instrText xml:space="preserve"> REF _Ref142056267 \n \h </w:instrText>
      </w:r>
      <w:r w:rsidR="008C1AE4">
        <w:instrText xml:space="preserve"> \* MERGEFORMAT </w:instrText>
      </w:r>
      <w:r>
        <w:fldChar w:fldCharType="separate"/>
      </w:r>
      <w:r>
        <w:t>[1]</w:t>
      </w:r>
      <w:r>
        <w:fldChar w:fldCharType="end"/>
      </w:r>
      <w:r>
        <w:t xml:space="preserve"> RAN2 has informed that Detect and Avoid (DAA) in Rel-18 is supported using only the broadcast mode. In addition, </w:t>
      </w:r>
      <w:r>
        <w:fldChar w:fldCharType="begin"/>
      </w:r>
      <w:r>
        <w:instrText xml:space="preserve"> REF _Ref142056267 \n \h </w:instrText>
      </w:r>
      <w:r w:rsidR="008C1AE4">
        <w:instrText xml:space="preserve"> \* MERGEFORMAT </w:instrText>
      </w:r>
      <w:r>
        <w:fldChar w:fldCharType="separate"/>
      </w:r>
      <w:r>
        <w:t>[1]</w:t>
      </w:r>
      <w:r>
        <w:fldChar w:fldCharType="end"/>
      </w:r>
      <w:r>
        <w:t xml:space="preserve"> has also asked if A2X (Aircraft to Anything) communication can rely on the existing QoS framework defined for Sidelink when V2X was considered or whether </w:t>
      </w:r>
      <w:r w:rsidR="007301C8">
        <w:t xml:space="preserve">new handling is needed. SA2 has addressed our questions during their May 2023 meeting and responded in </w:t>
      </w:r>
      <w:r w:rsidR="007301C8">
        <w:fldChar w:fldCharType="begin"/>
      </w:r>
      <w:r w:rsidR="007301C8">
        <w:instrText xml:space="preserve"> REF _Ref142056603 \n \h </w:instrText>
      </w:r>
      <w:r w:rsidR="008C1AE4">
        <w:instrText xml:space="preserve"> \* MERGEFORMAT </w:instrText>
      </w:r>
      <w:r w:rsidR="007301C8">
        <w:fldChar w:fldCharType="separate"/>
      </w:r>
      <w:r w:rsidR="007301C8">
        <w:t>[2]</w:t>
      </w:r>
      <w:r w:rsidR="007301C8">
        <w:fldChar w:fldCharType="end"/>
      </w:r>
      <w:r w:rsidR="007301C8">
        <w:t>. In this paper we provide our further view on what it means for BRID and DAA related</w:t>
      </w:r>
      <w:r w:rsidR="00A61F7D">
        <w:t xml:space="preserve"> Rel-18</w:t>
      </w:r>
      <w:r w:rsidR="007301C8">
        <w:t xml:space="preserve"> work in RAN2.</w:t>
      </w:r>
    </w:p>
    <w:p w14:paraId="193D1AB9" w14:textId="5909D9C0" w:rsidR="00664FB4" w:rsidRDefault="009339CB" w:rsidP="008C1AE4">
      <w:pPr>
        <w:pStyle w:val="Heading1"/>
        <w:jc w:val="both"/>
      </w:pPr>
      <w:r w:rsidRPr="00281B14">
        <w:t>2</w:t>
      </w:r>
      <w:r w:rsidRPr="00281B14">
        <w:tab/>
      </w:r>
      <w:r w:rsidR="00C01FC3">
        <w:t>Discussion</w:t>
      </w:r>
    </w:p>
    <w:p w14:paraId="5D78B269" w14:textId="19F52498" w:rsidR="00A61F7D" w:rsidRDefault="00A61F7D" w:rsidP="00A61F7D">
      <w:pPr>
        <w:pStyle w:val="Heading2"/>
      </w:pPr>
      <w:r>
        <w:t xml:space="preserve">2.1 </w:t>
      </w:r>
      <w:r>
        <w:tab/>
        <w:t>DAA over Unicast</w:t>
      </w:r>
    </w:p>
    <w:p w14:paraId="64115828" w14:textId="4B35793B" w:rsidR="00C01FC3" w:rsidRDefault="007301C8" w:rsidP="008C1AE4">
      <w:pPr>
        <w:jc w:val="both"/>
      </w:pPr>
      <w:r>
        <w:t xml:space="preserve">Release 18 Work Item Description (WID) on Uncrewed Aerial Vehicles among the others, defines the following objective </w:t>
      </w:r>
      <w:r>
        <w:fldChar w:fldCharType="begin"/>
      </w:r>
      <w:r>
        <w:instrText xml:space="preserve"> REF _Ref142056775 \n \h </w:instrText>
      </w:r>
      <w:r w:rsidR="008C1AE4">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7301C8" w14:paraId="21556F9C" w14:textId="77777777" w:rsidTr="007301C8">
        <w:tc>
          <w:tcPr>
            <w:tcW w:w="9631" w:type="dxa"/>
          </w:tcPr>
          <w:p w14:paraId="5F718703" w14:textId="5826C0BF" w:rsidR="007301C8" w:rsidRPr="006F12B6" w:rsidRDefault="006F12B6" w:rsidP="008C1AE4">
            <w:pPr>
              <w:spacing w:after="0"/>
              <w:jc w:val="both"/>
              <w:rPr>
                <w:sz w:val="24"/>
                <w:szCs w:val="24"/>
                <w:lang w:val="en-US" w:eastAsia="fi-FI"/>
              </w:rPr>
            </w:pPr>
            <w:r w:rsidRPr="00782F71">
              <w:rPr>
                <w:rStyle w:val="Emphasis"/>
                <w:i w:val="0"/>
                <w:lang w:val="en-US"/>
              </w:rPr>
              <w:t xml:space="preserve">3. </w:t>
            </w:r>
            <w:bookmarkStart w:id="0" w:name="_Hlk129273301"/>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NR PC5. Support of DAA using the same framework as BRID without DAA specific enhancements can be considered</w:t>
            </w:r>
            <w:r w:rsidRPr="00560246">
              <w:rPr>
                <w:lang w:val="en-US" w:eastAsia="fi-FI"/>
              </w:rPr>
              <w:t xml:space="preserve"> [RAN2]. </w:t>
            </w:r>
            <w:proofErr w:type="gramStart"/>
            <w:r w:rsidRPr="00560246">
              <w:rPr>
                <w:lang w:val="en-US" w:eastAsia="fi-FI"/>
              </w:rPr>
              <w:t>Note:.</w:t>
            </w:r>
            <w:proofErr w:type="gramEnd"/>
            <w:r>
              <w:rPr>
                <w:lang w:val="en-US" w:eastAsia="fi-FI"/>
              </w:rPr>
              <w:t xml:space="preserve"> UAV use of NR PC5 is to be used only in </w:t>
            </w:r>
            <w:bookmarkStart w:id="1" w:name="_Hlk130294308"/>
            <w:r>
              <w:rPr>
                <w:lang w:val="en-US" w:eastAsia="fi-FI"/>
              </w:rPr>
              <w:t>designated bands as defined in regulation</w:t>
            </w:r>
            <w:bookmarkEnd w:id="1"/>
            <w:r>
              <w:rPr>
                <w:lang w:val="en-US" w:eastAsia="fi-FI"/>
              </w:rPr>
              <w:t xml:space="preserve"> for BRID/DAA use.</w:t>
            </w:r>
            <w:bookmarkEnd w:id="0"/>
            <w:r>
              <w:rPr>
                <w:lang w:val="en-US" w:eastAsia="fi-FI"/>
              </w:rPr>
              <w:t xml:space="preserve"> </w:t>
            </w:r>
          </w:p>
        </w:tc>
      </w:tr>
    </w:tbl>
    <w:p w14:paraId="4CB9F57D" w14:textId="793A8C59" w:rsidR="00BA0E2F" w:rsidRDefault="007301C8" w:rsidP="008C1AE4">
      <w:pPr>
        <w:jc w:val="both"/>
      </w:pPr>
      <w:r>
        <w:br/>
      </w:r>
      <w:r w:rsidR="00BA0E2F">
        <w:t>In SA2 response the following</w:t>
      </w:r>
      <w:r w:rsidR="00A61F7D">
        <w:t xml:space="preserve"> was suggested</w:t>
      </w:r>
      <w:r w:rsidR="00BA0E2F">
        <w:t xml:space="preserve"> </w:t>
      </w:r>
      <w:r w:rsidR="00BA0E2F">
        <w:fldChar w:fldCharType="begin"/>
      </w:r>
      <w:r w:rsidR="00BA0E2F">
        <w:instrText xml:space="preserve"> REF _Ref142056603 \n \h </w:instrText>
      </w:r>
      <w:r w:rsidR="008C1AE4">
        <w:instrText xml:space="preserve"> \* MERGEFORMAT </w:instrText>
      </w:r>
      <w:r w:rsidR="00BA0E2F">
        <w:fldChar w:fldCharType="separate"/>
      </w:r>
      <w:r w:rsidR="00BA0E2F">
        <w:t>[2]</w:t>
      </w:r>
      <w:r w:rsidR="00BA0E2F">
        <w:fldChar w:fldCharType="end"/>
      </w:r>
      <w:r w:rsidR="00BA0E2F">
        <w:t>:</w:t>
      </w:r>
    </w:p>
    <w:tbl>
      <w:tblPr>
        <w:tblStyle w:val="TableGrid"/>
        <w:tblW w:w="0" w:type="auto"/>
        <w:tblLook w:val="04A0" w:firstRow="1" w:lastRow="0" w:firstColumn="1" w:lastColumn="0" w:noHBand="0" w:noVBand="1"/>
      </w:tblPr>
      <w:tblGrid>
        <w:gridCol w:w="9631"/>
      </w:tblGrid>
      <w:tr w:rsidR="00BA0E2F" w14:paraId="22D00631" w14:textId="77777777" w:rsidTr="00BA0E2F">
        <w:tc>
          <w:tcPr>
            <w:tcW w:w="9631" w:type="dxa"/>
          </w:tcPr>
          <w:p w14:paraId="6FBF8EA3" w14:textId="7BBF1115" w:rsidR="00BA0E2F" w:rsidRDefault="00BA0E2F" w:rsidP="008C1AE4">
            <w:pPr>
              <w:jc w:val="both"/>
            </w:pPr>
            <w:r w:rsidRPr="00BA0E2F">
              <w:t xml:space="preserve">SA2 specified DAA mechanism using broadcast, as well as DAA mechanism using unicast over NR PC5 by reusing the unicast mode V2X communication as specified in TS 23.287. Because the contents related to DAA transmitted over PC5 reference point are transparent not only to the A2X layer but also to the AS layer, SA2's understanding is that DAA specific enhancements to the existing unicast communication are not </w:t>
            </w:r>
            <w:proofErr w:type="gramStart"/>
            <w:r w:rsidRPr="00BA0E2F">
              <w:t>needed</w:t>
            </w:r>
            <w:proofErr w:type="gramEnd"/>
            <w:r w:rsidRPr="00BA0E2F">
              <w:t xml:space="preserve"> and the work carried out in RAN2 supports what is defined in SA2</w:t>
            </w:r>
          </w:p>
        </w:tc>
      </w:tr>
    </w:tbl>
    <w:p w14:paraId="72D90749" w14:textId="658E8B71" w:rsidR="001C060D" w:rsidRDefault="00BA0E2F" w:rsidP="008C1AE4">
      <w:pPr>
        <w:jc w:val="both"/>
      </w:pPr>
      <w:r>
        <w:br/>
        <w:t xml:space="preserve">As per </w:t>
      </w:r>
      <w:r>
        <w:fldChar w:fldCharType="begin"/>
      </w:r>
      <w:r>
        <w:instrText xml:space="preserve"> REF _Ref142057933 \n \h </w:instrText>
      </w:r>
      <w:r w:rsidR="008C1AE4">
        <w:instrText xml:space="preserve"> \* MERGEFORMAT </w:instrText>
      </w:r>
      <w:r>
        <w:fldChar w:fldCharType="separate"/>
      </w:r>
      <w:r>
        <w:t>[3]</w:t>
      </w:r>
      <w:r>
        <w:fldChar w:fldCharType="end"/>
      </w:r>
      <w:r>
        <w:t xml:space="preserve">, </w:t>
      </w:r>
      <w:r w:rsidR="001C060D">
        <w:t>DAA can be considered (supported), but only using the same framework as defined for BRID. As a reminder, BRID relies on broadcast via sidelink. So logically, if the same framework without any changes is to be used, then DAA should also use broadcast only.</w:t>
      </w:r>
    </w:p>
    <w:p w14:paraId="6C3FCE1C" w14:textId="41EAAA46" w:rsidR="001C060D" w:rsidRPr="00BA0E2F" w:rsidRDefault="001C060D" w:rsidP="008C1AE4">
      <w:pPr>
        <w:jc w:val="both"/>
        <w:rPr>
          <w:b/>
          <w:bCs/>
        </w:rPr>
      </w:pPr>
      <w:r w:rsidRPr="00BA0E2F">
        <w:rPr>
          <w:b/>
          <w:bCs/>
        </w:rPr>
        <w:t xml:space="preserve">Observation 1: </w:t>
      </w:r>
      <w:r w:rsidR="00BA0E2F" w:rsidRPr="00BA0E2F">
        <w:rPr>
          <w:b/>
          <w:bCs/>
        </w:rPr>
        <w:t>Work Item Description indicates DAA can be supported if it reuses the same framework as agreed for BRID.</w:t>
      </w:r>
    </w:p>
    <w:p w14:paraId="1006AF8A" w14:textId="605C9151" w:rsidR="001C060D" w:rsidRDefault="00BA0E2F" w:rsidP="008C1AE4">
      <w:pPr>
        <w:jc w:val="both"/>
      </w:pPr>
      <w:r>
        <w:t xml:space="preserve">On the other hand, SA2 claims that in their understanding </w:t>
      </w:r>
      <w:proofErr w:type="gramStart"/>
      <w:r>
        <w:t>no</w:t>
      </w:r>
      <w:proofErr w:type="gramEnd"/>
      <w:r>
        <w:t xml:space="preserve"> AS layer enhancements are needed to support unicast-based DAA. </w:t>
      </w:r>
    </w:p>
    <w:p w14:paraId="5C33ADAB" w14:textId="6EFAE728" w:rsidR="00BA0E2F" w:rsidRPr="00BA0E2F" w:rsidRDefault="00BA0E2F" w:rsidP="008C1AE4">
      <w:pPr>
        <w:jc w:val="both"/>
        <w:rPr>
          <w:b/>
          <w:bCs/>
        </w:rPr>
      </w:pPr>
      <w:r w:rsidRPr="00BA0E2F">
        <w:rPr>
          <w:b/>
          <w:bCs/>
        </w:rPr>
        <w:t>Observation 2: According to SA2, no AS layer enhancements are needed to support unicast-based DAA.</w:t>
      </w:r>
    </w:p>
    <w:p w14:paraId="44569541" w14:textId="657C5540" w:rsidR="00BA0E2F" w:rsidRDefault="00A61F7D" w:rsidP="008C1AE4">
      <w:pPr>
        <w:jc w:val="both"/>
      </w:pPr>
      <w:r>
        <w:t xml:space="preserve">Thus, </w:t>
      </w:r>
      <w:r w:rsidR="007F2001">
        <w:t>if supporting DAA via unicast is indeed limited to introducing a RAN2 capability for UAV UE</w:t>
      </w:r>
      <w:r w:rsidR="002532C2">
        <w:t xml:space="preserve"> which covers sidelink unicast, then this could be doable in Rel-18. However, if any additional RAN2 work is needed besides that, then we believe there is not </w:t>
      </w:r>
      <w:r w:rsidR="001E7FC0">
        <w:t xml:space="preserve">capacity left in this WI. </w:t>
      </w:r>
    </w:p>
    <w:p w14:paraId="2F0623DE" w14:textId="667C1776" w:rsidR="001E7FC0" w:rsidRPr="00BD7172" w:rsidRDefault="001E7FC0" w:rsidP="008C1AE4">
      <w:pPr>
        <w:jc w:val="both"/>
        <w:rPr>
          <w:b/>
          <w:bCs/>
        </w:rPr>
      </w:pPr>
      <w:r w:rsidRPr="00BD7172">
        <w:rPr>
          <w:b/>
          <w:bCs/>
        </w:rPr>
        <w:t xml:space="preserve">Proposal 1: </w:t>
      </w:r>
      <w:r w:rsidR="00AB523B" w:rsidRPr="00BD7172">
        <w:rPr>
          <w:b/>
          <w:bCs/>
        </w:rPr>
        <w:t>Unicast-based DAA can be supported</w:t>
      </w:r>
      <w:r w:rsidR="00BD7172" w:rsidRPr="00BD7172">
        <w:rPr>
          <w:b/>
          <w:bCs/>
        </w:rPr>
        <w:t xml:space="preserve"> in Rel-18,</w:t>
      </w:r>
      <w:r w:rsidR="00AB523B" w:rsidRPr="00BD7172">
        <w:rPr>
          <w:b/>
          <w:bCs/>
        </w:rPr>
        <w:t xml:space="preserve"> b</w:t>
      </w:r>
      <w:r w:rsidR="00BD7172" w:rsidRPr="00BD7172">
        <w:rPr>
          <w:b/>
          <w:bCs/>
        </w:rPr>
        <w:t xml:space="preserve">ut only its introduction does not require additional RAN2 work besides defining a sidelink capability. </w:t>
      </w:r>
    </w:p>
    <w:p w14:paraId="074A977C" w14:textId="1F0768C5" w:rsidR="00CE7ECE" w:rsidRDefault="00CE7ECE" w:rsidP="00CE7ECE">
      <w:pPr>
        <w:pStyle w:val="Heading2"/>
      </w:pPr>
      <w:r>
        <w:lastRenderedPageBreak/>
        <w:t xml:space="preserve">2.2 </w:t>
      </w:r>
      <w:r>
        <w:tab/>
        <w:t>QoS Requirements for A2X</w:t>
      </w:r>
    </w:p>
    <w:p w14:paraId="5FC1A615" w14:textId="0E772E63" w:rsidR="00CE7ECE" w:rsidRDefault="00F02676" w:rsidP="008C1AE4">
      <w:pPr>
        <w:jc w:val="both"/>
      </w:pPr>
      <w:r>
        <w:t xml:space="preserve">Second part of the response LS </w:t>
      </w:r>
      <w:r>
        <w:fldChar w:fldCharType="begin"/>
      </w:r>
      <w:r>
        <w:instrText xml:space="preserve"> REF _Ref142056603 \n \h </w:instrText>
      </w:r>
      <w:r>
        <w:fldChar w:fldCharType="separate"/>
      </w:r>
      <w:r>
        <w:t>[2]</w:t>
      </w:r>
      <w:r>
        <w:fldChar w:fldCharType="end"/>
      </w:r>
      <w:r w:rsidR="007D7F22">
        <w:t xml:space="preserve"> was focused on Quality of Service (QoS) and whether there will be separate QoS requirements for </w:t>
      </w:r>
      <w:r w:rsidR="00EE1CA1">
        <w:t xml:space="preserve">A2X (i.e. BRID and DAA). RAN2 has agreed to reuse the same framework as defined in the past for V2X. </w:t>
      </w:r>
      <w:r w:rsidR="00FB16C9">
        <w:t>SA2 has responded the following:</w:t>
      </w:r>
    </w:p>
    <w:tbl>
      <w:tblPr>
        <w:tblStyle w:val="TableGrid"/>
        <w:tblW w:w="0" w:type="auto"/>
        <w:tblLook w:val="04A0" w:firstRow="1" w:lastRow="0" w:firstColumn="1" w:lastColumn="0" w:noHBand="0" w:noVBand="1"/>
      </w:tblPr>
      <w:tblGrid>
        <w:gridCol w:w="9631"/>
      </w:tblGrid>
      <w:tr w:rsidR="00FB16C9" w14:paraId="578F4149" w14:textId="77777777" w:rsidTr="00FB16C9">
        <w:tc>
          <w:tcPr>
            <w:tcW w:w="9631" w:type="dxa"/>
          </w:tcPr>
          <w:p w14:paraId="611757C6" w14:textId="6DFCE70C" w:rsidR="00FB16C9" w:rsidRDefault="00DC4756" w:rsidP="008C1AE4">
            <w:pPr>
              <w:jc w:val="both"/>
            </w:pPr>
            <w:r w:rsidRPr="00DC4756">
              <w:t>SA2 answer: SA2 discussed that defining new PQI(PC5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t>
            </w:r>
          </w:p>
        </w:tc>
      </w:tr>
    </w:tbl>
    <w:p w14:paraId="366213B0" w14:textId="06854FFD" w:rsidR="00FB16C9" w:rsidRDefault="00DC4756" w:rsidP="008C1AE4">
      <w:pPr>
        <w:jc w:val="both"/>
      </w:pPr>
      <w:r>
        <w:br/>
      </w:r>
      <w:r w:rsidR="00F53C1D">
        <w:t xml:space="preserve">So </w:t>
      </w:r>
      <w:r w:rsidR="0011034D">
        <w:t>RAN2 may use the same framework, but expect that a specific, UAV-related value of PQI will be standardized by SA2.</w:t>
      </w:r>
    </w:p>
    <w:p w14:paraId="78CB0EA7" w14:textId="1CDF9490" w:rsidR="0011034D" w:rsidRPr="0011034D" w:rsidRDefault="0011034D" w:rsidP="008C1AE4">
      <w:pPr>
        <w:jc w:val="both"/>
        <w:rPr>
          <w:b/>
          <w:bCs/>
        </w:rPr>
      </w:pPr>
      <w:r w:rsidRPr="0011034D">
        <w:rPr>
          <w:b/>
          <w:bCs/>
        </w:rPr>
        <w:t>Observation 3:</w:t>
      </w:r>
      <w:r w:rsidR="00385E70">
        <w:rPr>
          <w:b/>
          <w:bCs/>
        </w:rPr>
        <w:t xml:space="preserve"> BRID and DAA can rely on the same QoS framework as defined for V2X. A separate PQI is expected to be defined by SA2</w:t>
      </w:r>
      <w:r w:rsidR="003B4C53">
        <w:rPr>
          <w:b/>
          <w:bCs/>
        </w:rPr>
        <w:t xml:space="preserve"> for NR SL</w:t>
      </w:r>
      <w:r w:rsidR="00385E70">
        <w:rPr>
          <w:b/>
          <w:bCs/>
        </w:rPr>
        <w:t>.</w:t>
      </w:r>
    </w:p>
    <w:p w14:paraId="2ACCFC7A" w14:textId="7384DBFA" w:rsidR="0011034D" w:rsidRDefault="00385E70" w:rsidP="008C1AE4">
      <w:pPr>
        <w:jc w:val="both"/>
      </w:pPr>
      <w:r>
        <w:t>Thus, RAN2 can wait with specification updates until SA2 addresses this topic in one of their next WG meetings.</w:t>
      </w:r>
    </w:p>
    <w:p w14:paraId="24712F84" w14:textId="41FA4EB6" w:rsidR="00385E70" w:rsidRPr="00D17A3A" w:rsidRDefault="008A0AEE" w:rsidP="008C1AE4">
      <w:pPr>
        <w:jc w:val="both"/>
        <w:rPr>
          <w:b/>
          <w:bCs/>
        </w:rPr>
      </w:pPr>
      <w:r w:rsidRPr="00D17A3A">
        <w:rPr>
          <w:b/>
          <w:bCs/>
        </w:rPr>
        <w:t xml:space="preserve">Proposal 2: RAN2 updates the </w:t>
      </w:r>
      <w:r w:rsidR="003B4C53">
        <w:rPr>
          <w:b/>
          <w:bCs/>
        </w:rPr>
        <w:t xml:space="preserve">NR </w:t>
      </w:r>
      <w:r w:rsidRPr="00D17A3A">
        <w:rPr>
          <w:b/>
          <w:bCs/>
        </w:rPr>
        <w:t>specification (e.g. by pointing to a</w:t>
      </w:r>
      <w:r w:rsidR="00893814">
        <w:rPr>
          <w:b/>
          <w:bCs/>
        </w:rPr>
        <w:t xml:space="preserve"> proper table with a list of PQIs)</w:t>
      </w:r>
      <w:r w:rsidR="004C3EE8">
        <w:rPr>
          <w:b/>
          <w:bCs/>
        </w:rPr>
        <w:t xml:space="preserve">, but only after the topic is resolved in SA2. </w:t>
      </w:r>
    </w:p>
    <w:p w14:paraId="2DF552C6" w14:textId="231F9DB7" w:rsidR="008A0AEE" w:rsidRDefault="008E5290" w:rsidP="008C1AE4">
      <w:pPr>
        <w:jc w:val="both"/>
      </w:pPr>
      <w:r>
        <w:t xml:space="preserve">Another related open point in RAN2 </w:t>
      </w:r>
      <w:r w:rsidR="007F2592">
        <w:t>is whether a separate pool of Tx sidelink resources should be defined for A2X or not. This was captured in RAN2#121:</w:t>
      </w:r>
    </w:p>
    <w:tbl>
      <w:tblPr>
        <w:tblStyle w:val="TableGrid"/>
        <w:tblW w:w="0" w:type="auto"/>
        <w:tblLook w:val="04A0" w:firstRow="1" w:lastRow="0" w:firstColumn="1" w:lastColumn="0" w:noHBand="0" w:noVBand="1"/>
      </w:tblPr>
      <w:tblGrid>
        <w:gridCol w:w="9631"/>
      </w:tblGrid>
      <w:tr w:rsidR="007F2592" w14:paraId="381F6A5E" w14:textId="77777777" w:rsidTr="007F2592">
        <w:tc>
          <w:tcPr>
            <w:tcW w:w="9631" w:type="dxa"/>
          </w:tcPr>
          <w:p w14:paraId="0EC50A0E" w14:textId="40B5868A" w:rsidR="007F2592" w:rsidRDefault="00B326C3" w:rsidP="008C1AE4">
            <w:pPr>
              <w:jc w:val="both"/>
            </w:pPr>
            <w:r>
              <w:t>FFS whether different resource pools are needed for UAV services</w:t>
            </w:r>
          </w:p>
        </w:tc>
      </w:tr>
    </w:tbl>
    <w:p w14:paraId="15AC4A07" w14:textId="3BBB0783" w:rsidR="008E3A04" w:rsidRDefault="007F2592" w:rsidP="008E3A04">
      <w:pPr>
        <w:jc w:val="both"/>
      </w:pPr>
      <w:r>
        <w:br/>
      </w:r>
      <w:r w:rsidR="008E3A04">
        <w:t xml:space="preserve">For NR PC5 resource pools are configured within BWP-specific configuration. For NR PC5 Mode 2 the following parameter would apply: </w:t>
      </w:r>
      <w:r w:rsidR="008E3A04" w:rsidRPr="00FB32DA">
        <w:rPr>
          <w:i/>
          <w:iCs/>
        </w:rPr>
        <w:t>sl-TxPoolSelectedNormal-r16</w:t>
      </w:r>
      <w:r w:rsidR="008E3A04">
        <w:t xml:space="preserve">. There can be up to </w:t>
      </w:r>
      <w:r w:rsidR="008E3A04" w:rsidRPr="00392BE9">
        <w:rPr>
          <w:i/>
          <w:iCs/>
        </w:rPr>
        <w:t>maxNrofTXPool-r16</w:t>
      </w:r>
      <w:r w:rsidR="008E3A04">
        <w:t xml:space="preserve"> of such pools configured per BWP and the maximum value defined in NR RRC is 8. Related ASN.1 excerpt is provided below:</w:t>
      </w:r>
    </w:p>
    <w:tbl>
      <w:tblPr>
        <w:tblStyle w:val="TableGrid"/>
        <w:tblW w:w="0" w:type="auto"/>
        <w:tblLook w:val="04A0" w:firstRow="1" w:lastRow="0" w:firstColumn="1" w:lastColumn="0" w:noHBand="0" w:noVBand="1"/>
      </w:tblPr>
      <w:tblGrid>
        <w:gridCol w:w="9631"/>
      </w:tblGrid>
      <w:tr w:rsidR="008E3A04" w14:paraId="0F382D99" w14:textId="77777777" w:rsidTr="00B43ABC">
        <w:tc>
          <w:tcPr>
            <w:tcW w:w="9631" w:type="dxa"/>
          </w:tcPr>
          <w:p w14:paraId="0DA0BC2C" w14:textId="77777777" w:rsidR="008E3A04" w:rsidRPr="00507F54" w:rsidRDefault="008E3A04" w:rsidP="00B43ABC">
            <w:pPr>
              <w:keepNext/>
              <w:keepLines/>
              <w:overflowPunct w:val="0"/>
              <w:autoSpaceDE w:val="0"/>
              <w:autoSpaceDN w:val="0"/>
              <w:adjustRightInd w:val="0"/>
              <w:spacing w:before="60"/>
              <w:jc w:val="center"/>
              <w:textAlignment w:val="baseline"/>
              <w:rPr>
                <w:rFonts w:ascii="Arial" w:hAnsi="Arial"/>
                <w:b/>
                <w:lang w:eastAsia="ja-JP"/>
              </w:rPr>
            </w:pPr>
            <w:r w:rsidRPr="00507F54">
              <w:rPr>
                <w:rFonts w:ascii="Arial" w:hAnsi="Arial"/>
                <w:b/>
                <w:i/>
                <w:lang w:eastAsia="ja-JP"/>
              </w:rPr>
              <w:t>SL-BWP-</w:t>
            </w:r>
            <w:proofErr w:type="spellStart"/>
            <w:r w:rsidRPr="00507F54">
              <w:rPr>
                <w:rFonts w:ascii="Arial" w:hAnsi="Arial"/>
                <w:b/>
                <w:i/>
                <w:lang w:eastAsia="ja-JP"/>
              </w:rPr>
              <w:t>PoolConfig</w:t>
            </w:r>
            <w:proofErr w:type="spellEnd"/>
            <w:r w:rsidRPr="00507F54">
              <w:rPr>
                <w:rFonts w:ascii="Arial" w:hAnsi="Arial"/>
                <w:b/>
                <w:lang w:eastAsia="ja-JP"/>
              </w:rPr>
              <w:t xml:space="preserve"> information element</w:t>
            </w:r>
          </w:p>
          <w:p w14:paraId="6A5F9E5A"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color w:val="808080"/>
                <w:sz w:val="16"/>
                <w:lang w:eastAsia="en-GB"/>
              </w:rPr>
              <w:t>-- ASN1START</w:t>
            </w:r>
          </w:p>
          <w:p w14:paraId="714ACFA3"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color w:val="808080"/>
                <w:sz w:val="16"/>
                <w:lang w:eastAsia="en-GB"/>
              </w:rPr>
              <w:t>-- TAG-SL-BWP-POOLCONFIG-START</w:t>
            </w:r>
          </w:p>
          <w:p w14:paraId="5E0CA476"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0E33A3"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SL-BWP-PoolConfig-r16 ::=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p>
          <w:p w14:paraId="09DFB5DB"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sl-RxPool-r16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r w:rsidRPr="00507F54">
              <w:rPr>
                <w:rFonts w:ascii="Courier New" w:hAnsi="Courier New"/>
                <w:noProof/>
                <w:color w:val="993366"/>
                <w:sz w:val="16"/>
                <w:lang w:eastAsia="en-GB"/>
              </w:rPr>
              <w:t>SIZE</w:t>
            </w:r>
            <w:r w:rsidRPr="00507F54">
              <w:rPr>
                <w:rFonts w:ascii="Courier New" w:hAnsi="Courier New"/>
                <w:noProof/>
                <w:sz w:val="16"/>
                <w:lang w:eastAsia="en-GB"/>
              </w:rPr>
              <w:t xml:space="preserve"> (1..maxNrofRXPool-r16))</w:t>
            </w:r>
            <w:r w:rsidRPr="00507F54">
              <w:rPr>
                <w:rFonts w:ascii="Courier New" w:hAnsi="Courier New"/>
                <w:noProof/>
                <w:color w:val="993366"/>
                <w:sz w:val="16"/>
                <w:lang w:eastAsia="en-GB"/>
              </w:rPr>
              <w:t xml:space="preserve"> OF</w:t>
            </w:r>
            <w:r w:rsidRPr="00507F54">
              <w:rPr>
                <w:rFonts w:ascii="Courier New" w:hAnsi="Courier New"/>
                <w:noProof/>
                <w:sz w:val="16"/>
                <w:lang w:eastAsia="en-GB"/>
              </w:rPr>
              <w:t xml:space="preserve"> SL-ResourcePool-r16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Cond HO</w:t>
            </w:r>
          </w:p>
          <w:p w14:paraId="66504A87"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sl-TxPoolSelectedNormal-r16      SL-TxPoolDedicated-r16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M</w:t>
            </w:r>
          </w:p>
          <w:p w14:paraId="3148112F"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sl-TxPoolScheduling-r16          SL-TxPoolDedicated-r16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N</w:t>
            </w:r>
          </w:p>
          <w:p w14:paraId="34C80062"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sl-TxPoolExceptional-r16         SL-ResourcePoolConfig-r16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M</w:t>
            </w:r>
          </w:p>
          <w:p w14:paraId="77C36DF0"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07F54">
              <w:rPr>
                <w:rFonts w:ascii="Courier New" w:eastAsia="DengXian" w:hAnsi="Courier New"/>
                <w:noProof/>
                <w:sz w:val="16"/>
                <w:lang w:eastAsia="en-GB"/>
              </w:rPr>
              <w:t>}</w:t>
            </w:r>
          </w:p>
          <w:p w14:paraId="1F5D9530"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3115CC"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SL-TxPoolDedicated-r16 ::=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p>
          <w:p w14:paraId="4A1E1843"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sl-PoolToReleaseList-r16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r w:rsidRPr="00507F54">
              <w:rPr>
                <w:rFonts w:ascii="Courier New" w:hAnsi="Courier New"/>
                <w:noProof/>
                <w:color w:val="993366"/>
                <w:sz w:val="16"/>
                <w:lang w:eastAsia="en-GB"/>
              </w:rPr>
              <w:t>SIZE</w:t>
            </w:r>
            <w:r w:rsidRPr="00507F54">
              <w:rPr>
                <w:rFonts w:ascii="Courier New" w:hAnsi="Courier New"/>
                <w:noProof/>
                <w:sz w:val="16"/>
                <w:lang w:eastAsia="en-GB"/>
              </w:rPr>
              <w:t xml:space="preserve"> (1..maxNrofTXPool-r16))</w:t>
            </w:r>
            <w:r w:rsidRPr="00507F54">
              <w:rPr>
                <w:rFonts w:ascii="Courier New" w:hAnsi="Courier New"/>
                <w:noProof/>
                <w:color w:val="993366"/>
                <w:sz w:val="16"/>
                <w:lang w:eastAsia="en-GB"/>
              </w:rPr>
              <w:t xml:space="preserve"> OF</w:t>
            </w:r>
            <w:r w:rsidRPr="00507F54">
              <w:rPr>
                <w:rFonts w:ascii="Courier New" w:hAnsi="Courier New"/>
                <w:noProof/>
                <w:sz w:val="16"/>
                <w:lang w:eastAsia="en-GB"/>
              </w:rPr>
              <w:t xml:space="preserve"> SL-ResourcePoolID-r16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N</w:t>
            </w:r>
          </w:p>
          <w:p w14:paraId="7F95A46B"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sl-PoolToAddModList-r16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r w:rsidRPr="00507F54">
              <w:rPr>
                <w:rFonts w:ascii="Courier New" w:hAnsi="Courier New"/>
                <w:noProof/>
                <w:color w:val="993366"/>
                <w:sz w:val="16"/>
                <w:lang w:eastAsia="en-GB"/>
              </w:rPr>
              <w:t>SIZE</w:t>
            </w:r>
            <w:r w:rsidRPr="00507F54">
              <w:rPr>
                <w:rFonts w:ascii="Courier New" w:hAnsi="Courier New"/>
                <w:noProof/>
                <w:sz w:val="16"/>
                <w:lang w:eastAsia="en-GB"/>
              </w:rPr>
              <w:t xml:space="preserve"> (1..maxNrofTXPool-r16))</w:t>
            </w:r>
            <w:r w:rsidRPr="00507F54">
              <w:rPr>
                <w:rFonts w:ascii="Courier New" w:hAnsi="Courier New"/>
                <w:noProof/>
                <w:color w:val="993366"/>
                <w:sz w:val="16"/>
                <w:lang w:eastAsia="en-GB"/>
              </w:rPr>
              <w:t xml:space="preserve"> OF</w:t>
            </w:r>
            <w:r w:rsidRPr="00507F54">
              <w:rPr>
                <w:rFonts w:ascii="Courier New" w:hAnsi="Courier New"/>
                <w:noProof/>
                <w:sz w:val="16"/>
                <w:lang w:eastAsia="en-GB"/>
              </w:rPr>
              <w:t xml:space="preserve"> SL-ResourcePoolConfig-r16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N</w:t>
            </w:r>
          </w:p>
          <w:p w14:paraId="2AD19429"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w:t>
            </w:r>
          </w:p>
          <w:p w14:paraId="452DA2F7"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D1AECF"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SL-ResourcePoolConfig-r16 ::=    </w:t>
            </w:r>
            <w:r w:rsidRPr="00507F54">
              <w:rPr>
                <w:rFonts w:ascii="Courier New" w:hAnsi="Courier New"/>
                <w:noProof/>
                <w:color w:val="993366"/>
                <w:sz w:val="16"/>
                <w:lang w:eastAsia="en-GB"/>
              </w:rPr>
              <w:t>SEQUENCE</w:t>
            </w:r>
            <w:r w:rsidRPr="00507F54">
              <w:rPr>
                <w:rFonts w:ascii="Courier New" w:hAnsi="Courier New"/>
                <w:noProof/>
                <w:sz w:val="16"/>
                <w:lang w:eastAsia="en-GB"/>
              </w:rPr>
              <w:t xml:space="preserve"> {</w:t>
            </w:r>
          </w:p>
          <w:p w14:paraId="412BDCD8"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    sl-ResourcePoolID-r16            SL-ResourcePoolID-r16,</w:t>
            </w:r>
          </w:p>
          <w:p w14:paraId="4AC4134D"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sz w:val="16"/>
                <w:lang w:eastAsia="en-GB"/>
              </w:rPr>
              <w:t xml:space="preserve">    sl-ResourcePool-r16              SL-ResourcePool-r16                                                  </w:t>
            </w:r>
            <w:r w:rsidRPr="00507F54">
              <w:rPr>
                <w:rFonts w:ascii="Courier New" w:hAnsi="Courier New"/>
                <w:noProof/>
                <w:color w:val="993366"/>
                <w:sz w:val="16"/>
                <w:lang w:eastAsia="en-GB"/>
              </w:rPr>
              <w:t>OPTIONAL</w:t>
            </w:r>
            <w:r w:rsidRPr="00507F54">
              <w:rPr>
                <w:rFonts w:ascii="Courier New" w:hAnsi="Courier New"/>
                <w:noProof/>
                <w:sz w:val="16"/>
                <w:lang w:eastAsia="en-GB"/>
              </w:rPr>
              <w:t xml:space="preserve">    </w:t>
            </w:r>
            <w:r w:rsidRPr="00507F54">
              <w:rPr>
                <w:rFonts w:ascii="Courier New" w:hAnsi="Courier New"/>
                <w:noProof/>
                <w:color w:val="808080"/>
                <w:sz w:val="16"/>
                <w:lang w:eastAsia="en-GB"/>
              </w:rPr>
              <w:t>-- Need M</w:t>
            </w:r>
          </w:p>
          <w:p w14:paraId="5F2550BB"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w:t>
            </w:r>
          </w:p>
          <w:p w14:paraId="3596F505"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42878C"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07F54">
              <w:rPr>
                <w:rFonts w:ascii="Courier New" w:hAnsi="Courier New"/>
                <w:noProof/>
                <w:sz w:val="16"/>
                <w:lang w:eastAsia="en-GB"/>
              </w:rPr>
              <w:t xml:space="preserve">SL-ResourcePoolID-r16 ::=        </w:t>
            </w:r>
            <w:r w:rsidRPr="00507F54">
              <w:rPr>
                <w:rFonts w:ascii="Courier New" w:hAnsi="Courier New"/>
                <w:noProof/>
                <w:color w:val="993366"/>
                <w:sz w:val="16"/>
                <w:lang w:eastAsia="en-GB"/>
              </w:rPr>
              <w:t>INTEGER</w:t>
            </w:r>
            <w:r w:rsidRPr="00507F54">
              <w:rPr>
                <w:rFonts w:ascii="Courier New" w:hAnsi="Courier New"/>
                <w:noProof/>
                <w:sz w:val="16"/>
                <w:lang w:eastAsia="en-GB"/>
              </w:rPr>
              <w:t xml:space="preserve"> (1..maxNrofPoolID-r16)</w:t>
            </w:r>
          </w:p>
          <w:p w14:paraId="4256F1AE"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8288BD"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color w:val="808080"/>
                <w:sz w:val="16"/>
                <w:lang w:eastAsia="en-GB"/>
              </w:rPr>
              <w:t>-- TAG-SL-BWP-POOLCONFIG-STOP</w:t>
            </w:r>
          </w:p>
          <w:p w14:paraId="56C47D0C" w14:textId="77777777" w:rsidR="008E3A04" w:rsidRPr="00507F54" w:rsidRDefault="008E3A04" w:rsidP="00B43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07F54">
              <w:rPr>
                <w:rFonts w:ascii="Courier New" w:hAnsi="Courier New"/>
                <w:noProof/>
                <w:color w:val="808080"/>
                <w:sz w:val="16"/>
                <w:lang w:eastAsia="en-GB"/>
              </w:rPr>
              <w:t>-- ASN1STOP</w:t>
            </w:r>
          </w:p>
          <w:p w14:paraId="4AFE0CA7" w14:textId="77777777" w:rsidR="008E3A04" w:rsidRDefault="008E3A04" w:rsidP="00B43ABC"/>
        </w:tc>
      </w:tr>
    </w:tbl>
    <w:p w14:paraId="7D2AF8E0" w14:textId="55ED3921" w:rsidR="007F2592" w:rsidRDefault="008E3A04" w:rsidP="008C1AE4">
      <w:pPr>
        <w:jc w:val="both"/>
        <w:rPr>
          <w:b/>
          <w:bCs/>
        </w:rPr>
      </w:pPr>
      <w:r>
        <w:rPr>
          <w:b/>
          <w:bCs/>
        </w:rPr>
        <w:br/>
      </w:r>
      <w:r w:rsidRPr="00480088">
        <w:rPr>
          <w:b/>
          <w:bCs/>
        </w:rPr>
        <w:t xml:space="preserve">Observation </w:t>
      </w:r>
      <w:r>
        <w:rPr>
          <w:b/>
          <w:bCs/>
        </w:rPr>
        <w:t>4</w:t>
      </w:r>
      <w:r w:rsidRPr="00480088">
        <w:rPr>
          <w:b/>
          <w:bCs/>
        </w:rPr>
        <w:t>: For NR PC5 Mode 2 the UE can be configured with up to 8 Tx resource pools per BWP</w:t>
      </w:r>
      <w:r>
        <w:rPr>
          <w:b/>
          <w:bCs/>
        </w:rPr>
        <w:t>.</w:t>
      </w:r>
    </w:p>
    <w:p w14:paraId="12F03D82" w14:textId="1B188BFA" w:rsidR="00BC27EE" w:rsidRPr="00B30949" w:rsidRDefault="009317DA" w:rsidP="008C1AE4">
      <w:pPr>
        <w:jc w:val="both"/>
      </w:pPr>
      <w:r w:rsidRPr="00B30949">
        <w:lastRenderedPageBreak/>
        <w:t>However, one may think that if BRID and DAA will have a separate PQI, it shall also have a dedicated resource pool</w:t>
      </w:r>
      <w:r w:rsidR="00B30949" w:rsidRPr="00B30949">
        <w:t xml:space="preserve">. </w:t>
      </w:r>
    </w:p>
    <w:p w14:paraId="0A182746" w14:textId="1EC6689D" w:rsidR="00B30949" w:rsidRPr="00C01FC3" w:rsidRDefault="00B30949" w:rsidP="008C1AE4">
      <w:pPr>
        <w:jc w:val="both"/>
      </w:pPr>
      <w:r>
        <w:rPr>
          <w:b/>
          <w:bCs/>
        </w:rPr>
        <w:t xml:space="preserve">Proposal 3: RAN2 is asked to </w:t>
      </w:r>
      <w:r w:rsidR="001A0972">
        <w:rPr>
          <w:b/>
          <w:bCs/>
        </w:rPr>
        <w:t xml:space="preserve">consider if </w:t>
      </w:r>
      <w:r w:rsidR="004E7D56">
        <w:rPr>
          <w:b/>
          <w:bCs/>
        </w:rPr>
        <w:t>separate PQI for BRID and DAA over NR SL justifies the introduction of a dedicated SL Tx resource pool.</w:t>
      </w:r>
    </w:p>
    <w:p w14:paraId="69B7B8E6" w14:textId="2239187D" w:rsidR="009339CB" w:rsidRPr="00281B14" w:rsidRDefault="00C01FC3" w:rsidP="008C1AE4">
      <w:pPr>
        <w:pStyle w:val="Heading1"/>
        <w:jc w:val="both"/>
      </w:pPr>
      <w:r>
        <w:t>3</w:t>
      </w:r>
      <w:r w:rsidR="009339CB" w:rsidRPr="00281B14">
        <w:tab/>
        <w:t>Conclusion</w:t>
      </w:r>
    </w:p>
    <w:p w14:paraId="35F222F4" w14:textId="11072C38" w:rsidR="00080512" w:rsidRDefault="00664FB4" w:rsidP="008C1AE4">
      <w:pPr>
        <w:jc w:val="both"/>
      </w:pPr>
      <w:r>
        <w:t xml:space="preserve">The following </w:t>
      </w:r>
      <w:r w:rsidR="008B1B3B">
        <w:t xml:space="preserve">observations and </w:t>
      </w:r>
      <w:r>
        <w:t>proposal</w:t>
      </w:r>
      <w:r w:rsidR="001A0972">
        <w:t>s</w:t>
      </w:r>
      <w:r>
        <w:t xml:space="preserve"> ha</w:t>
      </w:r>
      <w:r w:rsidR="001A0972">
        <w:t>ve</w:t>
      </w:r>
      <w:r>
        <w:t xml:space="preserve"> been made in this paper:</w:t>
      </w:r>
    </w:p>
    <w:p w14:paraId="437ADBE2" w14:textId="77777777" w:rsidR="00E34817" w:rsidRPr="00BA0E2F" w:rsidRDefault="00E34817" w:rsidP="00E34817">
      <w:pPr>
        <w:jc w:val="both"/>
        <w:rPr>
          <w:b/>
          <w:bCs/>
        </w:rPr>
      </w:pPr>
      <w:r w:rsidRPr="00BA0E2F">
        <w:rPr>
          <w:b/>
          <w:bCs/>
        </w:rPr>
        <w:t>Observation 1: Work Item Description indicates DAA can be supported if it reuses the same framework as agreed for BRID.</w:t>
      </w:r>
    </w:p>
    <w:p w14:paraId="00DF818D" w14:textId="77777777" w:rsidR="00E34817" w:rsidRPr="00BA0E2F" w:rsidRDefault="00E34817" w:rsidP="00E34817">
      <w:pPr>
        <w:jc w:val="both"/>
        <w:rPr>
          <w:b/>
          <w:bCs/>
        </w:rPr>
      </w:pPr>
      <w:r w:rsidRPr="00BA0E2F">
        <w:rPr>
          <w:b/>
          <w:bCs/>
        </w:rPr>
        <w:t>Observation 2: According to SA2, no AS layer enhancements are needed to support unicast-based DAA.</w:t>
      </w:r>
    </w:p>
    <w:p w14:paraId="6CA2F1B3" w14:textId="77777777" w:rsidR="00E34817" w:rsidRPr="00BD7172" w:rsidRDefault="00E34817" w:rsidP="00E34817">
      <w:pPr>
        <w:jc w:val="both"/>
        <w:rPr>
          <w:b/>
          <w:bCs/>
        </w:rPr>
      </w:pPr>
      <w:r w:rsidRPr="00BD7172">
        <w:rPr>
          <w:b/>
          <w:bCs/>
        </w:rPr>
        <w:t xml:space="preserve">Proposal 1: Unicast-based DAA can be supported in Rel-18, but only its introduction does not require additional RAN2 work besides defining a sidelink capability. </w:t>
      </w:r>
    </w:p>
    <w:p w14:paraId="44A3C85B" w14:textId="77777777" w:rsidR="00E34817" w:rsidRPr="0011034D" w:rsidRDefault="00E34817" w:rsidP="00E34817">
      <w:pPr>
        <w:jc w:val="both"/>
        <w:rPr>
          <w:b/>
          <w:bCs/>
        </w:rPr>
      </w:pPr>
      <w:r w:rsidRPr="0011034D">
        <w:rPr>
          <w:b/>
          <w:bCs/>
        </w:rPr>
        <w:t>Observation 3:</w:t>
      </w:r>
      <w:r>
        <w:rPr>
          <w:b/>
          <w:bCs/>
        </w:rPr>
        <w:t xml:space="preserve"> BRID and DAA can rely on the same QoS framework as defined for V2X. A separate PQI is expected to be defined by SA2 for NR SL.</w:t>
      </w:r>
    </w:p>
    <w:p w14:paraId="6BDAA1AE" w14:textId="77777777" w:rsidR="00E34817" w:rsidRPr="00D17A3A" w:rsidRDefault="00E34817" w:rsidP="00E34817">
      <w:pPr>
        <w:jc w:val="both"/>
        <w:rPr>
          <w:b/>
          <w:bCs/>
        </w:rPr>
      </w:pPr>
      <w:r w:rsidRPr="00D17A3A">
        <w:rPr>
          <w:b/>
          <w:bCs/>
        </w:rPr>
        <w:t xml:space="preserve">Proposal 2: RAN2 updates the </w:t>
      </w:r>
      <w:r>
        <w:rPr>
          <w:b/>
          <w:bCs/>
        </w:rPr>
        <w:t xml:space="preserve">NR </w:t>
      </w:r>
      <w:r w:rsidRPr="00D17A3A">
        <w:rPr>
          <w:b/>
          <w:bCs/>
        </w:rPr>
        <w:t>specification (e.g. by pointing to a</w:t>
      </w:r>
      <w:r>
        <w:rPr>
          <w:b/>
          <w:bCs/>
        </w:rPr>
        <w:t xml:space="preserve"> proper table with a list of PQIs), but only after the topic is resolved in SA2. </w:t>
      </w:r>
    </w:p>
    <w:p w14:paraId="7A371F29" w14:textId="76845F6E" w:rsidR="00664FB4" w:rsidRDefault="00E34817" w:rsidP="008C1AE4">
      <w:pPr>
        <w:jc w:val="both"/>
        <w:rPr>
          <w:b/>
          <w:bCs/>
        </w:rPr>
      </w:pPr>
      <w:r w:rsidRPr="00480088">
        <w:rPr>
          <w:b/>
          <w:bCs/>
        </w:rPr>
        <w:t xml:space="preserve">Observation </w:t>
      </w:r>
      <w:r>
        <w:rPr>
          <w:b/>
          <w:bCs/>
        </w:rPr>
        <w:t>4</w:t>
      </w:r>
      <w:r w:rsidRPr="00480088">
        <w:rPr>
          <w:b/>
          <w:bCs/>
        </w:rPr>
        <w:t>: For NR PC5 Mode 2 the UE can be configured with up to 8 Tx resource pools per BWP</w:t>
      </w:r>
      <w:r>
        <w:rPr>
          <w:b/>
          <w:bCs/>
        </w:rPr>
        <w:t>.</w:t>
      </w:r>
    </w:p>
    <w:p w14:paraId="4A419190" w14:textId="2F0BBDD1" w:rsidR="00E34817" w:rsidRPr="00E34817" w:rsidRDefault="00E34817" w:rsidP="008C1AE4">
      <w:pPr>
        <w:jc w:val="both"/>
      </w:pPr>
      <w:r>
        <w:rPr>
          <w:b/>
          <w:bCs/>
        </w:rPr>
        <w:t>Proposal 3: RAN2 is asked to consider if separate PQI for BRID and DAA over NR SL justifies the introduction of a dedicated SL Tx resource pool.</w:t>
      </w:r>
    </w:p>
    <w:p w14:paraId="57DADACC" w14:textId="62D62E92" w:rsidR="006E59A4" w:rsidRPr="00281B14" w:rsidRDefault="006E59A4">
      <w:pPr>
        <w:pStyle w:val="Heading1"/>
      </w:pPr>
      <w:r w:rsidRPr="00281B14">
        <w:t>References</w:t>
      </w:r>
    </w:p>
    <w:p w14:paraId="27C24871" w14:textId="3D478C04" w:rsidR="00DC26BC" w:rsidRDefault="00DC26BC" w:rsidP="00DC26BC">
      <w:pPr>
        <w:pStyle w:val="ListParagraph"/>
        <w:numPr>
          <w:ilvl w:val="0"/>
          <w:numId w:val="8"/>
        </w:numPr>
      </w:pPr>
      <w:bookmarkStart w:id="2" w:name="_Ref142056267"/>
      <w:bookmarkStart w:id="3" w:name="_Ref106786305"/>
      <w:r>
        <w:t xml:space="preserve">R2-2304564 </w:t>
      </w:r>
      <w:r w:rsidRPr="00D66DC8">
        <w:rPr>
          <w:i/>
          <w:iCs/>
        </w:rPr>
        <w:t>LS on BRID and DAA broadcast over LTE and NR PC5</w:t>
      </w:r>
      <w:r>
        <w:t xml:space="preserve"> </w:t>
      </w:r>
      <w:r w:rsidR="00D66DC8">
        <w:tab/>
      </w:r>
      <w:r>
        <w:t>3GPP TSG-RAN WG2 Meeting #121bis e-Meeting, 17th April – 26th April 2023</w:t>
      </w:r>
      <w:bookmarkEnd w:id="2"/>
    </w:p>
    <w:p w14:paraId="7E4A24AA" w14:textId="653E89C4" w:rsidR="00DC26BC" w:rsidRPr="00DC26BC" w:rsidRDefault="00DC26BC" w:rsidP="00DC26BC">
      <w:pPr>
        <w:pStyle w:val="ListParagraph"/>
        <w:numPr>
          <w:ilvl w:val="0"/>
          <w:numId w:val="8"/>
        </w:numPr>
        <w:rPr>
          <w:color w:val="000000"/>
        </w:rPr>
      </w:pPr>
      <w:bookmarkStart w:id="4" w:name="_Ref142056603"/>
      <w:r>
        <w:t xml:space="preserve">S2-2307781 </w:t>
      </w:r>
      <w:r w:rsidRPr="00D66DC8">
        <w:rPr>
          <w:i/>
          <w:iCs/>
          <w:lang w:eastAsia="zh-CN"/>
        </w:rPr>
        <w:t>LS on BRID and DAA broadcast over LTE and NR PC5 (S2-2306322/</w:t>
      </w:r>
      <w:r w:rsidRPr="00D66DC8">
        <w:rPr>
          <w:i/>
          <w:iCs/>
          <w:color w:val="000000"/>
        </w:rPr>
        <w:t>R2-2304564)</w:t>
      </w:r>
      <w:r>
        <w:rPr>
          <w:color w:val="000000"/>
        </w:rPr>
        <w:t xml:space="preserve"> </w:t>
      </w:r>
      <w:r w:rsidR="00D66DC8">
        <w:rPr>
          <w:color w:val="000000"/>
        </w:rPr>
        <w:tab/>
      </w:r>
      <w:r w:rsidRPr="00DC26BC">
        <w:rPr>
          <w:color w:val="000000"/>
        </w:rPr>
        <w:t>3GPP TSG-WG SA2 Meeting #157</w:t>
      </w:r>
      <w:r>
        <w:rPr>
          <w:color w:val="000000"/>
        </w:rPr>
        <w:tab/>
      </w:r>
      <w:r w:rsidRPr="00DC26BC">
        <w:rPr>
          <w:color w:val="000000"/>
        </w:rPr>
        <w:t>Berlin, Germany, May 22 – 26, 2023</w:t>
      </w:r>
      <w:bookmarkEnd w:id="4"/>
    </w:p>
    <w:p w14:paraId="4DC59571" w14:textId="1E183056" w:rsidR="006E59A4" w:rsidRPr="00281B14" w:rsidRDefault="000514ED" w:rsidP="006E59A4">
      <w:pPr>
        <w:pStyle w:val="ListParagraph"/>
        <w:numPr>
          <w:ilvl w:val="0"/>
          <w:numId w:val="8"/>
        </w:numPr>
      </w:pPr>
      <w:bookmarkStart w:id="5" w:name="_Ref142056775"/>
      <w:bookmarkStart w:id="6" w:name="_Ref142057933"/>
      <w:r w:rsidRPr="000514ED">
        <w:t xml:space="preserve">RP-230782 </w:t>
      </w:r>
      <w:r w:rsidR="00AA2363" w:rsidRPr="00AA2363">
        <w:rPr>
          <w:i/>
          <w:iCs/>
        </w:rPr>
        <w:t>Revised WID: NR Support for UAV (Uncrewed Aerial Vehicles)</w:t>
      </w:r>
      <w:r w:rsidR="006E59A4" w:rsidRPr="00281B14">
        <w:t xml:space="preserve"> </w:t>
      </w:r>
      <w:r w:rsidR="00D66DC8">
        <w:tab/>
      </w:r>
      <w:r w:rsidR="006E59A4" w:rsidRPr="00281B14">
        <w:t>3GPP TSG RAN Meeting #9</w:t>
      </w:r>
      <w:r w:rsidR="00FC7489">
        <w:t>9</w:t>
      </w:r>
      <w:r w:rsidR="006E59A4" w:rsidRPr="00281B14">
        <w:t xml:space="preserve"> </w:t>
      </w:r>
      <w:bookmarkEnd w:id="3"/>
      <w:r w:rsidR="00FC7489" w:rsidRPr="00FC7489">
        <w:t>Rotterdam, Netherlands, March 20th – 23rd 2023</w:t>
      </w:r>
      <w:bookmarkEnd w:id="5"/>
      <w:r w:rsidR="00D66DC8">
        <w:t>.</w:t>
      </w:r>
      <w:bookmarkEnd w:id="6"/>
    </w:p>
    <w:sectPr w:rsidR="006E59A4" w:rsidRPr="00281B1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12086" w14:textId="77777777" w:rsidR="00A12D77" w:rsidRDefault="00A12D77">
      <w:r>
        <w:separator/>
      </w:r>
    </w:p>
  </w:endnote>
  <w:endnote w:type="continuationSeparator" w:id="0">
    <w:p w14:paraId="3A770511" w14:textId="77777777" w:rsidR="00A12D77" w:rsidRDefault="00A12D77">
      <w:r>
        <w:continuationSeparator/>
      </w:r>
    </w:p>
  </w:endnote>
  <w:endnote w:type="continuationNotice" w:id="1">
    <w:p w14:paraId="38273A8F" w14:textId="77777777" w:rsidR="00A12D77" w:rsidRDefault="00A12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DAD29" w14:textId="77777777" w:rsidR="00A12D77" w:rsidRDefault="00A12D77">
      <w:r>
        <w:separator/>
      </w:r>
    </w:p>
  </w:footnote>
  <w:footnote w:type="continuationSeparator" w:id="0">
    <w:p w14:paraId="09B64381" w14:textId="77777777" w:rsidR="00A12D77" w:rsidRDefault="00A12D77">
      <w:r>
        <w:continuationSeparator/>
      </w:r>
    </w:p>
  </w:footnote>
  <w:footnote w:type="continuationNotice" w:id="1">
    <w:p w14:paraId="646453EE" w14:textId="77777777" w:rsidR="00A12D77" w:rsidRDefault="00A12D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140A6B"/>
    <w:multiLevelType w:val="hybridMultilevel"/>
    <w:tmpl w:val="B098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60231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0683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3580969">
    <w:abstractNumId w:val="1"/>
  </w:num>
  <w:num w:numId="4" w16cid:durableId="1808694418">
    <w:abstractNumId w:val="8"/>
  </w:num>
  <w:num w:numId="5" w16cid:durableId="83037920">
    <w:abstractNumId w:val="7"/>
  </w:num>
  <w:num w:numId="6" w16cid:durableId="1378045333">
    <w:abstractNumId w:val="11"/>
  </w:num>
  <w:num w:numId="7" w16cid:durableId="2059550718">
    <w:abstractNumId w:val="12"/>
  </w:num>
  <w:num w:numId="8" w16cid:durableId="756633861">
    <w:abstractNumId w:val="4"/>
  </w:num>
  <w:num w:numId="9" w16cid:durableId="836655500">
    <w:abstractNumId w:val="6"/>
  </w:num>
  <w:num w:numId="10" w16cid:durableId="1906717786">
    <w:abstractNumId w:val="2"/>
  </w:num>
  <w:num w:numId="11" w16cid:durableId="433405536">
    <w:abstractNumId w:val="13"/>
  </w:num>
  <w:num w:numId="12" w16cid:durableId="138419693">
    <w:abstractNumId w:val="10"/>
  </w:num>
  <w:num w:numId="13" w16cid:durableId="244534958">
    <w:abstractNumId w:val="5"/>
  </w:num>
  <w:num w:numId="14" w16cid:durableId="46608805">
    <w:abstractNumId w:val="9"/>
  </w:num>
  <w:num w:numId="15" w16cid:durableId="1000505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38E"/>
    <w:rsid w:val="00023C40"/>
    <w:rsid w:val="00033397"/>
    <w:rsid w:val="00040095"/>
    <w:rsid w:val="0004077E"/>
    <w:rsid w:val="0004783A"/>
    <w:rsid w:val="000514ED"/>
    <w:rsid w:val="000624E6"/>
    <w:rsid w:val="00065268"/>
    <w:rsid w:val="0007110F"/>
    <w:rsid w:val="00073C9C"/>
    <w:rsid w:val="00076412"/>
    <w:rsid w:val="00080512"/>
    <w:rsid w:val="00090468"/>
    <w:rsid w:val="00094568"/>
    <w:rsid w:val="00096E44"/>
    <w:rsid w:val="00097F9C"/>
    <w:rsid w:val="000B5376"/>
    <w:rsid w:val="000B7BCF"/>
    <w:rsid w:val="000C1AD8"/>
    <w:rsid w:val="000C3C1A"/>
    <w:rsid w:val="000C522B"/>
    <w:rsid w:val="000D58AB"/>
    <w:rsid w:val="0010362F"/>
    <w:rsid w:val="0011034D"/>
    <w:rsid w:val="00112F1A"/>
    <w:rsid w:val="00122002"/>
    <w:rsid w:val="0012604B"/>
    <w:rsid w:val="00142252"/>
    <w:rsid w:val="00145075"/>
    <w:rsid w:val="00145765"/>
    <w:rsid w:val="001518C3"/>
    <w:rsid w:val="00164FF5"/>
    <w:rsid w:val="00170CB8"/>
    <w:rsid w:val="001741A0"/>
    <w:rsid w:val="00175FA0"/>
    <w:rsid w:val="001818C9"/>
    <w:rsid w:val="001822B5"/>
    <w:rsid w:val="0018277D"/>
    <w:rsid w:val="00194CD0"/>
    <w:rsid w:val="00197C65"/>
    <w:rsid w:val="001A0972"/>
    <w:rsid w:val="001A3ECF"/>
    <w:rsid w:val="001B49C9"/>
    <w:rsid w:val="001C013E"/>
    <w:rsid w:val="001C060D"/>
    <w:rsid w:val="001C23F4"/>
    <w:rsid w:val="001C4F79"/>
    <w:rsid w:val="001D5D97"/>
    <w:rsid w:val="001E1FF3"/>
    <w:rsid w:val="001E7FC0"/>
    <w:rsid w:val="001F168B"/>
    <w:rsid w:val="001F7831"/>
    <w:rsid w:val="002020DA"/>
    <w:rsid w:val="00203D15"/>
    <w:rsid w:val="00204045"/>
    <w:rsid w:val="0020712B"/>
    <w:rsid w:val="0022606D"/>
    <w:rsid w:val="00231728"/>
    <w:rsid w:val="00244A05"/>
    <w:rsid w:val="00250404"/>
    <w:rsid w:val="00251B43"/>
    <w:rsid w:val="002532C2"/>
    <w:rsid w:val="00256B74"/>
    <w:rsid w:val="002610D8"/>
    <w:rsid w:val="00264B9B"/>
    <w:rsid w:val="00270CBF"/>
    <w:rsid w:val="002747EC"/>
    <w:rsid w:val="002764CE"/>
    <w:rsid w:val="00281B14"/>
    <w:rsid w:val="00281BB8"/>
    <w:rsid w:val="002855BF"/>
    <w:rsid w:val="00285776"/>
    <w:rsid w:val="002A7093"/>
    <w:rsid w:val="002B21D7"/>
    <w:rsid w:val="002B223B"/>
    <w:rsid w:val="002B2988"/>
    <w:rsid w:val="002D4E08"/>
    <w:rsid w:val="002D6DC3"/>
    <w:rsid w:val="002E026D"/>
    <w:rsid w:val="002F0D22"/>
    <w:rsid w:val="002F1121"/>
    <w:rsid w:val="00311B17"/>
    <w:rsid w:val="003172DC"/>
    <w:rsid w:val="00325AE3"/>
    <w:rsid w:val="00326069"/>
    <w:rsid w:val="00336DC0"/>
    <w:rsid w:val="003440DC"/>
    <w:rsid w:val="0035462D"/>
    <w:rsid w:val="003623B5"/>
    <w:rsid w:val="0036459E"/>
    <w:rsid w:val="00364B41"/>
    <w:rsid w:val="00383096"/>
    <w:rsid w:val="003854B3"/>
    <w:rsid w:val="00385E70"/>
    <w:rsid w:val="00390FA0"/>
    <w:rsid w:val="00391C12"/>
    <w:rsid w:val="0039346C"/>
    <w:rsid w:val="003A41EF"/>
    <w:rsid w:val="003B1B3C"/>
    <w:rsid w:val="003B1C5A"/>
    <w:rsid w:val="003B40AD"/>
    <w:rsid w:val="003B4C53"/>
    <w:rsid w:val="003C4E37"/>
    <w:rsid w:val="003D3F67"/>
    <w:rsid w:val="003D4047"/>
    <w:rsid w:val="003D645C"/>
    <w:rsid w:val="003E16BE"/>
    <w:rsid w:val="003E4B0D"/>
    <w:rsid w:val="003E605E"/>
    <w:rsid w:val="003E688E"/>
    <w:rsid w:val="003F39DA"/>
    <w:rsid w:val="003F3D1A"/>
    <w:rsid w:val="003F4E28"/>
    <w:rsid w:val="004006E8"/>
    <w:rsid w:val="0040097C"/>
    <w:rsid w:val="00401855"/>
    <w:rsid w:val="00405098"/>
    <w:rsid w:val="00436405"/>
    <w:rsid w:val="00440D24"/>
    <w:rsid w:val="00446C3A"/>
    <w:rsid w:val="00465587"/>
    <w:rsid w:val="00470090"/>
    <w:rsid w:val="00473CBE"/>
    <w:rsid w:val="00477455"/>
    <w:rsid w:val="004838BC"/>
    <w:rsid w:val="00485DD0"/>
    <w:rsid w:val="00491B6F"/>
    <w:rsid w:val="004A1F7B"/>
    <w:rsid w:val="004C3D8F"/>
    <w:rsid w:val="004C3EE8"/>
    <w:rsid w:val="004C44D2"/>
    <w:rsid w:val="004D3578"/>
    <w:rsid w:val="004D380D"/>
    <w:rsid w:val="004E213A"/>
    <w:rsid w:val="004E33B2"/>
    <w:rsid w:val="004E7D56"/>
    <w:rsid w:val="004F4540"/>
    <w:rsid w:val="004F73A7"/>
    <w:rsid w:val="00503171"/>
    <w:rsid w:val="00506C28"/>
    <w:rsid w:val="00534DA0"/>
    <w:rsid w:val="00542E98"/>
    <w:rsid w:val="00543E6C"/>
    <w:rsid w:val="00544461"/>
    <w:rsid w:val="00552C52"/>
    <w:rsid w:val="00554D60"/>
    <w:rsid w:val="00562007"/>
    <w:rsid w:val="00565087"/>
    <w:rsid w:val="0056573F"/>
    <w:rsid w:val="00570E9A"/>
    <w:rsid w:val="00571279"/>
    <w:rsid w:val="005748FD"/>
    <w:rsid w:val="00575F15"/>
    <w:rsid w:val="00576BE6"/>
    <w:rsid w:val="005904BB"/>
    <w:rsid w:val="00593AB4"/>
    <w:rsid w:val="005A13AB"/>
    <w:rsid w:val="005A49C6"/>
    <w:rsid w:val="005C6ECE"/>
    <w:rsid w:val="005C766E"/>
    <w:rsid w:val="005C7CD5"/>
    <w:rsid w:val="005E46DD"/>
    <w:rsid w:val="00602253"/>
    <w:rsid w:val="00605D33"/>
    <w:rsid w:val="00606230"/>
    <w:rsid w:val="00611566"/>
    <w:rsid w:val="006159B2"/>
    <w:rsid w:val="0062439C"/>
    <w:rsid w:val="0064516E"/>
    <w:rsid w:val="00645708"/>
    <w:rsid w:val="00646D99"/>
    <w:rsid w:val="006531A1"/>
    <w:rsid w:val="00656910"/>
    <w:rsid w:val="006574C0"/>
    <w:rsid w:val="00662494"/>
    <w:rsid w:val="00664FB4"/>
    <w:rsid w:val="0067483A"/>
    <w:rsid w:val="00696821"/>
    <w:rsid w:val="00696ACE"/>
    <w:rsid w:val="006A528D"/>
    <w:rsid w:val="006B2F6B"/>
    <w:rsid w:val="006C66D8"/>
    <w:rsid w:val="006D1E24"/>
    <w:rsid w:val="006D35DE"/>
    <w:rsid w:val="006E037F"/>
    <w:rsid w:val="006E1057"/>
    <w:rsid w:val="006E1417"/>
    <w:rsid w:val="006E59A4"/>
    <w:rsid w:val="006F0393"/>
    <w:rsid w:val="006F12B6"/>
    <w:rsid w:val="006F6A2C"/>
    <w:rsid w:val="00704CD0"/>
    <w:rsid w:val="007069DC"/>
    <w:rsid w:val="00710201"/>
    <w:rsid w:val="00717320"/>
    <w:rsid w:val="0072073A"/>
    <w:rsid w:val="0072236A"/>
    <w:rsid w:val="00722D10"/>
    <w:rsid w:val="007301C8"/>
    <w:rsid w:val="007342B5"/>
    <w:rsid w:val="00734A5B"/>
    <w:rsid w:val="00744E76"/>
    <w:rsid w:val="007469E4"/>
    <w:rsid w:val="00750673"/>
    <w:rsid w:val="00757D40"/>
    <w:rsid w:val="00760DE4"/>
    <w:rsid w:val="007662B5"/>
    <w:rsid w:val="00781F0F"/>
    <w:rsid w:val="00785364"/>
    <w:rsid w:val="0078727C"/>
    <w:rsid w:val="0079049D"/>
    <w:rsid w:val="00793DC5"/>
    <w:rsid w:val="00796823"/>
    <w:rsid w:val="007A2E55"/>
    <w:rsid w:val="007B137B"/>
    <w:rsid w:val="007B18D8"/>
    <w:rsid w:val="007C095F"/>
    <w:rsid w:val="007C2DD0"/>
    <w:rsid w:val="007C76EC"/>
    <w:rsid w:val="007D3681"/>
    <w:rsid w:val="007D7F22"/>
    <w:rsid w:val="007E1EDD"/>
    <w:rsid w:val="007E5A4E"/>
    <w:rsid w:val="007F2001"/>
    <w:rsid w:val="007F2592"/>
    <w:rsid w:val="007F2E08"/>
    <w:rsid w:val="00801FAF"/>
    <w:rsid w:val="008024FA"/>
    <w:rsid w:val="008028A4"/>
    <w:rsid w:val="00813245"/>
    <w:rsid w:val="008263CA"/>
    <w:rsid w:val="00835772"/>
    <w:rsid w:val="008362C0"/>
    <w:rsid w:val="00840983"/>
    <w:rsid w:val="00840DE0"/>
    <w:rsid w:val="00847CD0"/>
    <w:rsid w:val="008520B8"/>
    <w:rsid w:val="0086033B"/>
    <w:rsid w:val="008607A8"/>
    <w:rsid w:val="0086354A"/>
    <w:rsid w:val="00871C14"/>
    <w:rsid w:val="008768CA"/>
    <w:rsid w:val="00877389"/>
    <w:rsid w:val="00877EF9"/>
    <w:rsid w:val="00880559"/>
    <w:rsid w:val="00891B78"/>
    <w:rsid w:val="00893814"/>
    <w:rsid w:val="008A0AEE"/>
    <w:rsid w:val="008B1B3B"/>
    <w:rsid w:val="008B5306"/>
    <w:rsid w:val="008C1AE4"/>
    <w:rsid w:val="008C2E2A"/>
    <w:rsid w:val="008C3057"/>
    <w:rsid w:val="008C3539"/>
    <w:rsid w:val="008D2E4D"/>
    <w:rsid w:val="008E3A04"/>
    <w:rsid w:val="008E5290"/>
    <w:rsid w:val="008F396F"/>
    <w:rsid w:val="008F3DCD"/>
    <w:rsid w:val="0090271F"/>
    <w:rsid w:val="00902DB9"/>
    <w:rsid w:val="00902DBB"/>
    <w:rsid w:val="009032D4"/>
    <w:rsid w:val="0090466A"/>
    <w:rsid w:val="0090770A"/>
    <w:rsid w:val="009154AF"/>
    <w:rsid w:val="00923655"/>
    <w:rsid w:val="009317DA"/>
    <w:rsid w:val="009339CB"/>
    <w:rsid w:val="00936071"/>
    <w:rsid w:val="009376CD"/>
    <w:rsid w:val="00940212"/>
    <w:rsid w:val="00942EC2"/>
    <w:rsid w:val="009434CA"/>
    <w:rsid w:val="00954A92"/>
    <w:rsid w:val="00961B32"/>
    <w:rsid w:val="00962509"/>
    <w:rsid w:val="00970DB3"/>
    <w:rsid w:val="009749D6"/>
    <w:rsid w:val="00974BB0"/>
    <w:rsid w:val="00975BCD"/>
    <w:rsid w:val="00982D63"/>
    <w:rsid w:val="009928A9"/>
    <w:rsid w:val="00994A69"/>
    <w:rsid w:val="00995AE3"/>
    <w:rsid w:val="009A0AF3"/>
    <w:rsid w:val="009B07CD"/>
    <w:rsid w:val="009C19E9"/>
    <w:rsid w:val="009C77D6"/>
    <w:rsid w:val="009D3B24"/>
    <w:rsid w:val="009D74A6"/>
    <w:rsid w:val="009E0E64"/>
    <w:rsid w:val="009E0E87"/>
    <w:rsid w:val="009E1181"/>
    <w:rsid w:val="009E5F17"/>
    <w:rsid w:val="009F1370"/>
    <w:rsid w:val="00A06217"/>
    <w:rsid w:val="00A10F02"/>
    <w:rsid w:val="00A12D77"/>
    <w:rsid w:val="00A204CA"/>
    <w:rsid w:val="00A209D6"/>
    <w:rsid w:val="00A22738"/>
    <w:rsid w:val="00A36F5F"/>
    <w:rsid w:val="00A430EC"/>
    <w:rsid w:val="00A53724"/>
    <w:rsid w:val="00A54B2B"/>
    <w:rsid w:val="00A54DE5"/>
    <w:rsid w:val="00A55314"/>
    <w:rsid w:val="00A61F7D"/>
    <w:rsid w:val="00A6653C"/>
    <w:rsid w:val="00A703B6"/>
    <w:rsid w:val="00A82346"/>
    <w:rsid w:val="00A95288"/>
    <w:rsid w:val="00A9671C"/>
    <w:rsid w:val="00AA1553"/>
    <w:rsid w:val="00AA2363"/>
    <w:rsid w:val="00AA2DF9"/>
    <w:rsid w:val="00AA7774"/>
    <w:rsid w:val="00AB04F3"/>
    <w:rsid w:val="00AB217A"/>
    <w:rsid w:val="00AB523B"/>
    <w:rsid w:val="00AC36F2"/>
    <w:rsid w:val="00AC7832"/>
    <w:rsid w:val="00AD77F6"/>
    <w:rsid w:val="00AF7A1A"/>
    <w:rsid w:val="00B006F4"/>
    <w:rsid w:val="00B05380"/>
    <w:rsid w:val="00B05962"/>
    <w:rsid w:val="00B15449"/>
    <w:rsid w:val="00B16C2F"/>
    <w:rsid w:val="00B2115C"/>
    <w:rsid w:val="00B2610E"/>
    <w:rsid w:val="00B27303"/>
    <w:rsid w:val="00B30949"/>
    <w:rsid w:val="00B326C3"/>
    <w:rsid w:val="00B42F37"/>
    <w:rsid w:val="00B47FD1"/>
    <w:rsid w:val="00B516BB"/>
    <w:rsid w:val="00B61AA0"/>
    <w:rsid w:val="00B7538C"/>
    <w:rsid w:val="00B76D3B"/>
    <w:rsid w:val="00B84DB2"/>
    <w:rsid w:val="00BA0E2F"/>
    <w:rsid w:val="00BA49D6"/>
    <w:rsid w:val="00BA63ED"/>
    <w:rsid w:val="00BC27EE"/>
    <w:rsid w:val="00BC29D7"/>
    <w:rsid w:val="00BC3555"/>
    <w:rsid w:val="00BD7172"/>
    <w:rsid w:val="00BE51C7"/>
    <w:rsid w:val="00C01FC3"/>
    <w:rsid w:val="00C12B51"/>
    <w:rsid w:val="00C14932"/>
    <w:rsid w:val="00C235C5"/>
    <w:rsid w:val="00C24650"/>
    <w:rsid w:val="00C25465"/>
    <w:rsid w:val="00C33079"/>
    <w:rsid w:val="00C331D4"/>
    <w:rsid w:val="00C34905"/>
    <w:rsid w:val="00C47C26"/>
    <w:rsid w:val="00C504AA"/>
    <w:rsid w:val="00C50CEC"/>
    <w:rsid w:val="00C55A12"/>
    <w:rsid w:val="00C6553E"/>
    <w:rsid w:val="00C8285A"/>
    <w:rsid w:val="00C83A13"/>
    <w:rsid w:val="00C86F10"/>
    <w:rsid w:val="00C9068C"/>
    <w:rsid w:val="00C92967"/>
    <w:rsid w:val="00C94CE8"/>
    <w:rsid w:val="00CA3D0C"/>
    <w:rsid w:val="00CA654B"/>
    <w:rsid w:val="00CB1ECA"/>
    <w:rsid w:val="00CB72B8"/>
    <w:rsid w:val="00CC2747"/>
    <w:rsid w:val="00CD0BA8"/>
    <w:rsid w:val="00CD307E"/>
    <w:rsid w:val="00CD4C7B"/>
    <w:rsid w:val="00CD58FE"/>
    <w:rsid w:val="00CE07EA"/>
    <w:rsid w:val="00CE453A"/>
    <w:rsid w:val="00CE7ECE"/>
    <w:rsid w:val="00CF6861"/>
    <w:rsid w:val="00D00957"/>
    <w:rsid w:val="00D03461"/>
    <w:rsid w:val="00D04BAC"/>
    <w:rsid w:val="00D17A3A"/>
    <w:rsid w:val="00D22855"/>
    <w:rsid w:val="00D25510"/>
    <w:rsid w:val="00D316A5"/>
    <w:rsid w:val="00D33BE3"/>
    <w:rsid w:val="00D3641F"/>
    <w:rsid w:val="00D3792D"/>
    <w:rsid w:val="00D43CC1"/>
    <w:rsid w:val="00D45A4E"/>
    <w:rsid w:val="00D51D1A"/>
    <w:rsid w:val="00D55E47"/>
    <w:rsid w:val="00D62E19"/>
    <w:rsid w:val="00D66DC8"/>
    <w:rsid w:val="00D67CD1"/>
    <w:rsid w:val="00D7083B"/>
    <w:rsid w:val="00D718C3"/>
    <w:rsid w:val="00D738D6"/>
    <w:rsid w:val="00D80795"/>
    <w:rsid w:val="00D82BCA"/>
    <w:rsid w:val="00D854BE"/>
    <w:rsid w:val="00D861DC"/>
    <w:rsid w:val="00D87E00"/>
    <w:rsid w:val="00D9134D"/>
    <w:rsid w:val="00D96D11"/>
    <w:rsid w:val="00DA7A03"/>
    <w:rsid w:val="00DB0DB8"/>
    <w:rsid w:val="00DB1818"/>
    <w:rsid w:val="00DB7EB1"/>
    <w:rsid w:val="00DC0A05"/>
    <w:rsid w:val="00DC26BC"/>
    <w:rsid w:val="00DC2E56"/>
    <w:rsid w:val="00DC309B"/>
    <w:rsid w:val="00DC3F79"/>
    <w:rsid w:val="00DC4756"/>
    <w:rsid w:val="00DC4DA2"/>
    <w:rsid w:val="00DC5261"/>
    <w:rsid w:val="00DD3152"/>
    <w:rsid w:val="00DE009F"/>
    <w:rsid w:val="00DE25D2"/>
    <w:rsid w:val="00DE2D22"/>
    <w:rsid w:val="00DE3B5B"/>
    <w:rsid w:val="00DF2949"/>
    <w:rsid w:val="00DF450A"/>
    <w:rsid w:val="00DF7C20"/>
    <w:rsid w:val="00E14AB1"/>
    <w:rsid w:val="00E23BDA"/>
    <w:rsid w:val="00E34817"/>
    <w:rsid w:val="00E36799"/>
    <w:rsid w:val="00E46C08"/>
    <w:rsid w:val="00E471CF"/>
    <w:rsid w:val="00E62835"/>
    <w:rsid w:val="00E648C6"/>
    <w:rsid w:val="00E77645"/>
    <w:rsid w:val="00E83697"/>
    <w:rsid w:val="00E859B6"/>
    <w:rsid w:val="00E867BA"/>
    <w:rsid w:val="00E8696A"/>
    <w:rsid w:val="00EA66C9"/>
    <w:rsid w:val="00EB5D32"/>
    <w:rsid w:val="00EC4A25"/>
    <w:rsid w:val="00EE1CA1"/>
    <w:rsid w:val="00EF4B13"/>
    <w:rsid w:val="00EF5AD0"/>
    <w:rsid w:val="00EF612C"/>
    <w:rsid w:val="00F025A2"/>
    <w:rsid w:val="00F02676"/>
    <w:rsid w:val="00F036E9"/>
    <w:rsid w:val="00F07388"/>
    <w:rsid w:val="00F17C3E"/>
    <w:rsid w:val="00F2026E"/>
    <w:rsid w:val="00F211DB"/>
    <w:rsid w:val="00F2210A"/>
    <w:rsid w:val="00F273E7"/>
    <w:rsid w:val="00F31372"/>
    <w:rsid w:val="00F37743"/>
    <w:rsid w:val="00F53C1D"/>
    <w:rsid w:val="00F54A3D"/>
    <w:rsid w:val="00F54CB0"/>
    <w:rsid w:val="00F5543D"/>
    <w:rsid w:val="00F579CD"/>
    <w:rsid w:val="00F638E1"/>
    <w:rsid w:val="00F653B8"/>
    <w:rsid w:val="00F71B89"/>
    <w:rsid w:val="00F7353C"/>
    <w:rsid w:val="00F76F8F"/>
    <w:rsid w:val="00F87257"/>
    <w:rsid w:val="00F941DF"/>
    <w:rsid w:val="00FA1266"/>
    <w:rsid w:val="00FB0963"/>
    <w:rsid w:val="00FB16C9"/>
    <w:rsid w:val="00FB36FA"/>
    <w:rsid w:val="00FB3DFF"/>
    <w:rsid w:val="00FC1192"/>
    <w:rsid w:val="00FC287D"/>
    <w:rsid w:val="00FC7489"/>
    <w:rsid w:val="00FE0EA6"/>
    <w:rsid w:val="00FE106D"/>
    <w:rsid w:val="00FE1B4B"/>
    <w:rsid w:val="00FE251B"/>
    <w:rsid w:val="00FF7556"/>
    <w:rsid w:val="00FF76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character" w:styleId="CommentReference">
    <w:name w:val="annotation reference"/>
    <w:basedOn w:val="DefaultParagraphFont"/>
    <w:rsid w:val="00E14AB1"/>
    <w:rPr>
      <w:sz w:val="16"/>
      <w:szCs w:val="16"/>
    </w:rPr>
  </w:style>
  <w:style w:type="paragraph" w:styleId="CommentText">
    <w:name w:val="annotation text"/>
    <w:basedOn w:val="Normal"/>
    <w:link w:val="CommentTextChar"/>
    <w:rsid w:val="00E14AB1"/>
  </w:style>
  <w:style w:type="character" w:customStyle="1" w:styleId="CommentTextChar">
    <w:name w:val="Comment Text Char"/>
    <w:basedOn w:val="DefaultParagraphFont"/>
    <w:link w:val="CommentText"/>
    <w:rsid w:val="00E14AB1"/>
    <w:rPr>
      <w:lang w:eastAsia="en-US"/>
    </w:rPr>
  </w:style>
  <w:style w:type="paragraph" w:styleId="CommentSubject">
    <w:name w:val="annotation subject"/>
    <w:basedOn w:val="CommentText"/>
    <w:next w:val="CommentText"/>
    <w:link w:val="CommentSubjectChar"/>
    <w:rsid w:val="00E14AB1"/>
    <w:rPr>
      <w:b/>
      <w:bCs/>
    </w:rPr>
  </w:style>
  <w:style w:type="character" w:customStyle="1" w:styleId="CommentSubjectChar">
    <w:name w:val="Comment Subject Char"/>
    <w:basedOn w:val="CommentTextChar"/>
    <w:link w:val="CommentSubject"/>
    <w:rsid w:val="00E14AB1"/>
    <w:rPr>
      <w:b/>
      <w:bCs/>
      <w:lang w:eastAsia="en-US"/>
    </w:rPr>
  </w:style>
  <w:style w:type="paragraph" w:styleId="Revision">
    <w:name w:val="Revision"/>
    <w:hidden/>
    <w:uiPriority w:val="99"/>
    <w:semiHidden/>
    <w:rsid w:val="00440D24"/>
    <w:rPr>
      <w:lang w:eastAsia="en-US"/>
    </w:rPr>
  </w:style>
  <w:style w:type="character" w:styleId="Emphasis">
    <w:name w:val="Emphasis"/>
    <w:uiPriority w:val="20"/>
    <w:qFormat/>
    <w:rsid w:val="00470090"/>
    <w:rPr>
      <w:i/>
      <w:iCs/>
    </w:rPr>
  </w:style>
  <w:style w:type="table" w:styleId="TableGrid">
    <w:name w:val="Table Grid"/>
    <w:basedOn w:val="TableNormal"/>
    <w:rsid w:val="00730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5AIRPNAIUNRU-859666464-14751</_dlc_DocId>
    <_dlc_DocIdUrl xmlns="71c5aaf6-e6ce-465b-b873-5148d2a4c105">
      <Url>https://nokia.sharepoint.com/sites/c5g/e2earch/_layouts/15/DocIdRedir.aspx?ID=5AIRPNAIUNRU-859666464-14751</Url>
      <Description>5AIRPNAIUNRU-859666464-14751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F92D49-F6DE-4A4E-BDDD-D747FCA29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48D861B-8D19-41E0-A719-C0198AD64D9F}">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3b34c8f0-1ef5-4d1e-bb66-517ce7fe7356"/>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elements/1.1/"/>
    <ds:schemaRef ds:uri="http://schemas.microsoft.com/office/infopath/2007/PartnerControls"/>
    <ds:schemaRef ds:uri="http://www.w3.org/XML/1998/namespace"/>
    <ds:schemaRef ds:uri="83f22d2f-d16e-4be6-ad4f-29fa0b067c3c"/>
    <ds:schemaRef ds:uri="a3840f4f-04be-43d1-b2ef-6ff1382503c7"/>
    <ds:schemaRef ds:uri="71c5aaf6-e6ce-465b-b873-5148d2a4c105"/>
    <ds:schemaRef ds:uri="http://purl.org/dc/te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3</Pages>
  <Words>1185</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8031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270</cp:revision>
  <dcterms:created xsi:type="dcterms:W3CDTF">2022-06-22T08:10:00Z</dcterms:created>
  <dcterms:modified xsi:type="dcterms:W3CDTF">2023-08-11T07:29:00Z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1be12ad6-e89b-49f6-a3b4-8cc8ceaa6112</vt:lpwstr>
  </property>
  <property fmtid="{D5CDD505-2E9C-101B-9397-08002B2CF9AE}" pid="4" name="MediaServiceImageTags">
    <vt:lpwstr/>
  </property>
</Properties>
</file>